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10.0 -->
  <w:body>
    <w:p>
      <w:pPr>
        <w:spacing w:before="0" w:after="180"/>
        <w:rPr>
          <w:rFonts w:ascii="Arial" w:eastAsia="Arial" w:hAnsi="Arial" w:cs="Arial"/>
          <w:sz w:val="18"/>
          <w:szCs w:val="18"/>
        </w:rPr>
      </w:pPr>
      <w:r>
        <w:rPr>
          <w:strike w:val="0"/>
          <w:u w:val="none"/>
        </w:rPr>
        <w:drawing>
          <wp:anchor simplePos="0" relativeHeight="251665408" behindDoc="1" locked="0" layoutInCell="1" allowOverlap="1">
            <wp:simplePos x="0" y="0"/>
            <wp:positionH relativeFrom="page">
              <wp:posOffset>0</wp:posOffset>
            </wp:positionH>
            <wp:positionV relativeFrom="page">
              <wp:posOffset>0</wp:posOffset>
            </wp:positionV>
            <wp:extent cx="7562850" cy="10696575"/>
            <wp:wrapNone/>
            <wp:docPr id="100001" name=""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7562850" cy="10696575"/>
                    </a:xfrm>
                    <a:prstGeom prst="rect">
                      <a:avLst/>
                    </a:prstGeom>
                  </pic:spPr>
                </pic:pic>
              </a:graphicData>
            </a:graphic>
          </wp:anchor>
        </w:drawing>
      </w:r>
      <w:bookmarkStart w:id="0" w:name="Undo_Change_font_09x41z58"/>
      <w:bookmarkEnd w:id="0"/>
    </w:p>
    <w:p>
      <w:pPr>
        <w:spacing w:before="0" w:after="180"/>
        <w:rPr>
          <w:rFonts w:ascii="Arial" w:eastAsia="Arial" w:hAnsi="Arial" w:cs="Arial"/>
          <w:sz w:val="18"/>
          <w:szCs w:val="18"/>
        </w:rPr>
      </w:pPr>
    </w:p>
    <w:p>
      <w:pPr>
        <w:spacing w:after="180"/>
        <w:sectPr>
          <w:type w:val="nextPage"/>
          <w:pgSz w:w="11906" w:h="16838"/>
          <w:pgMar w:top="1134" w:right="1440" w:bottom="851" w:left="1440" w:header="708" w:footer="708"/>
          <w:cols w:space="708"/>
        </w:sectPr>
      </w:pPr>
      <w:r>
        <w:rPr>
          <w:strike w:val="0"/>
          <w:u w:val="none"/>
        </w:rPr>
        <w:drawing>
          <wp:anchor simplePos="0" relativeHeight="251658240" behindDoc="0" locked="0" layoutInCell="1" allowOverlap="1">
            <wp:simplePos x="0" y="0"/>
            <wp:positionH relativeFrom="column">
              <wp:posOffset>0</wp:posOffset>
            </wp:positionH>
            <wp:positionV relativeFrom="page">
              <wp:posOffset>0</wp:posOffset>
            </wp:positionV>
            <wp:extent cx="6124575" cy="1362075"/>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6124575" cy="1362075"/>
                    </a:xfrm>
                    <a:prstGeom prst="rect">
                      <a:avLst/>
                    </a:prstGeom>
                  </pic:spPr>
                </pic:pic>
              </a:graphicData>
            </a:graphic>
          </wp:anchor>
        </w:drawing>
      </w:r>
      <w:r>
        <w:rPr>
          <w:strike w:val="0"/>
          <w:u w:val="none"/>
        </w:rPr>
        <w:drawing>
          <wp:anchor simplePos="0" relativeHeight="251660288" behindDoc="0" locked="0" layoutInCell="1" allowOverlap="1">
            <wp:simplePos x="0" y="0"/>
            <wp:positionH relativeFrom="margin">
              <wp:posOffset>0</wp:posOffset>
            </wp:positionH>
            <wp:positionV relativeFrom="page">
              <wp:posOffset>0</wp:posOffset>
            </wp:positionV>
            <wp:extent cx="5734050" cy="5353050"/>
            <wp:wrapNone/>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6"/>
                    <a:stretch>
                      <a:fillRect/>
                    </a:stretch>
                  </pic:blipFill>
                  <pic:spPr>
                    <a:xfrm>
                      <a:off x="0" y="0"/>
                      <a:ext cx="5734050" cy="5353050"/>
                    </a:xfrm>
                    <a:prstGeom prst="rect">
                      <a:avLst/>
                    </a:prstGeom>
                  </pic:spPr>
                </pic:pic>
              </a:graphicData>
            </a:graphic>
          </wp:anchor>
        </w:drawing>
      </w:r>
      <w:r>
        <w:rPr>
          <w:strike w:val="0"/>
          <w:u w:val="none"/>
        </w:rPr>
        <w:drawing>
          <wp:anchor simplePos="0" relativeHeight="251664384" behindDoc="0" locked="0" layoutInCell="1" allowOverlap="1">
            <wp:simplePos x="0" y="0"/>
            <wp:positionH relativeFrom="rightMargin">
              <wp:posOffset>-612140</wp:posOffset>
            </wp:positionH>
            <wp:positionV relativeFrom="page">
              <wp:posOffset>367030</wp:posOffset>
            </wp:positionV>
            <wp:extent cx="962025" cy="219075"/>
            <wp:wrapNone/>
            <wp:docPr id="100007" name=""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7"/>
                    <a:stretch>
                      <a:fillRect/>
                    </a:stretch>
                  </pic:blipFill>
                  <pic:spPr>
                    <a:xfrm>
                      <a:off x="0" y="0"/>
                      <a:ext cx="962025" cy="219075"/>
                    </a:xfrm>
                    <a:prstGeom prst="rect">
                      <a:avLst/>
                    </a:prstGeom>
                  </pic:spPr>
                </pic:pic>
              </a:graphicData>
            </a:graphic>
          </wp:anchor>
        </w:drawing>
      </w:r>
      <w:r>
        <w:rPr>
          <w:strike w:val="0"/>
          <w:u w:val="none"/>
        </w:rPr>
        <w:drawing>
          <wp:anchor simplePos="0" relativeHeight="251661312" behindDoc="0" locked="0" layoutInCell="1" allowOverlap="1">
            <wp:simplePos x="0" y="0"/>
            <wp:positionH relativeFrom="column">
              <wp:posOffset>0</wp:posOffset>
            </wp:positionH>
            <wp:positionV relativeFrom="page">
              <wp:posOffset>357505</wp:posOffset>
            </wp:positionV>
            <wp:extent cx="4286250" cy="285750"/>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8"/>
                    <a:stretch>
                      <a:fillRect/>
                    </a:stretch>
                  </pic:blipFill>
                  <pic:spPr>
                    <a:xfrm>
                      <a:off x="0" y="0"/>
                      <a:ext cx="4286250" cy="285750"/>
                    </a:xfrm>
                    <a:prstGeom prst="rect">
                      <a:avLst/>
                    </a:prstGeom>
                  </pic:spPr>
                </pic:pic>
              </a:graphicData>
            </a:graphic>
          </wp:anchor>
        </w:drawing>
      </w:r>
      <w:r>
        <w:rPr>
          <w:strike w:val="0"/>
          <w:u w:val="none"/>
        </w:rPr>
        <w:drawing>
          <wp:anchor simplePos="0" relativeHeight="251663360" behindDoc="0" locked="0" layoutInCell="1" allowOverlap="1">
            <wp:simplePos x="0" y="0"/>
            <wp:positionH relativeFrom="page">
              <wp:posOffset>0</wp:posOffset>
            </wp:positionH>
            <wp:positionV relativeFrom="page">
              <wp:posOffset>6674485</wp:posOffset>
            </wp:positionV>
            <wp:extent cx="7562850" cy="3057525"/>
            <wp:wrapNone/>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9"/>
                    <a:stretch>
                      <a:fillRect/>
                    </a:stretch>
                  </pic:blipFill>
                  <pic:spPr>
                    <a:xfrm>
                      <a:off x="0" y="0"/>
                      <a:ext cx="7562850" cy="3057525"/>
                    </a:xfrm>
                    <a:prstGeom prst="rect">
                      <a:avLst/>
                    </a:prstGeom>
                  </pic:spPr>
                </pic:pic>
              </a:graphicData>
            </a:graphic>
          </wp:anchor>
        </w:drawing>
      </w:r>
    </w:p>
    <w:p>
      <w:pPr>
        <w:pageBreakBefore/>
        <w:spacing w:before="0" w:after="120"/>
      </w:pPr>
      <w:bookmarkStart w:id="1" w:name="Text_QualityInformation"/>
      <w:bookmarkStart w:id="2" w:name="QualityControlPage"/>
      <w:r>
        <w:rPr>
          <w:sz w:val="24"/>
          <w:szCs w:val="24"/>
        </w:rPr>
        <w:t>Quality information</w:t>
      </w:r>
      <w:bookmarkEnd w:id="1"/>
    </w:p>
    <w:tbl>
      <w:tblPr>
        <w:tblW w:w="4932" w:type="pct"/>
        <w:tblBorders>
          <w:insideH w:val="single" w:sz="4" w:space="0" w:color="000000"/>
        </w:tblBorders>
        <w:tblCellMar>
          <w:top w:w="0" w:type="dxa"/>
          <w:left w:w="0" w:type="dxa"/>
          <w:bottom w:w="0" w:type="dxa"/>
          <w:right w:w="0" w:type="dxa"/>
        </w:tblCellMar>
      </w:tblPr>
      <w:tblGrid>
        <w:gridCol w:w="1958"/>
        <w:gridCol w:w="237"/>
        <w:gridCol w:w="2077"/>
        <w:gridCol w:w="359"/>
        <w:gridCol w:w="1956"/>
        <w:gridCol w:w="359"/>
        <w:gridCol w:w="1957"/>
      </w:tblGrid>
      <w:tr>
        <w:tblPrEx>
          <w:tblW w:w="4932" w:type="pct"/>
          <w:tblBorders>
            <w:insideH w:val="single" w:sz="4" w:space="0" w:color="000000"/>
          </w:tblBorders>
          <w:tblCellMar>
            <w:top w:w="0" w:type="dxa"/>
            <w:left w:w="0" w:type="dxa"/>
            <w:bottom w:w="0" w:type="dxa"/>
            <w:right w:w="0" w:type="dxa"/>
          </w:tblCellMar>
        </w:tblPrEx>
        <w:tc>
          <w:tcPr>
            <w:tcW w:w="2027"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3" w:name="Text_PreparedBy"/>
            <w:r>
              <w:rPr>
                <w:b/>
                <w:bCs/>
                <w:i w:val="0"/>
                <w:iCs w:val="0"/>
                <w:smallCaps w:val="0"/>
                <w:color w:val="008768"/>
                <w:sz w:val="22"/>
                <w:szCs w:val="22"/>
              </w:rPr>
              <w:t>Prepared by</w:t>
            </w:r>
            <w:bookmarkEnd w:id="3"/>
          </w:p>
        </w:tc>
        <w:tc>
          <w:tcPr>
            <w:tcW w:w="145" w:type="dxa"/>
            <w:tcBorders>
              <w:bottom w:val="nil"/>
            </w:tcBorders>
            <w:noWrap w:val="0"/>
            <w:tcMar>
              <w:top w:w="33" w:type="dxa"/>
              <w:left w:w="0" w:type="dxa"/>
              <w:bottom w:w="28" w:type="dxa"/>
              <w:right w:w="118" w:type="dxa"/>
            </w:tcMar>
            <w:vAlign w:val="top"/>
          </w:tcPr>
          <w:p>
            <w:pPr>
              <w:spacing w:before="40" w:after="40" w:line="240" w:lineRule="auto"/>
              <w:rPr>
                <w:rFonts w:ascii="Arial" w:eastAsia="Arial" w:hAnsi="Arial" w:cs="Arial"/>
                <w:b/>
                <w:bCs/>
                <w:i w:val="0"/>
                <w:iCs w:val="0"/>
                <w:smallCaps w:val="0"/>
                <w:color w:val="008768"/>
                <w:sz w:val="22"/>
                <w:szCs w:val="22"/>
              </w:rPr>
            </w:pPr>
          </w:p>
        </w:tc>
        <w:tc>
          <w:tcPr>
            <w:tcW w:w="2170"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4" w:name="Text_CheckedBy"/>
            <w:r>
              <w:rPr>
                <w:b/>
                <w:bCs/>
                <w:i w:val="0"/>
                <w:iCs w:val="0"/>
                <w:smallCaps w:val="0"/>
                <w:color w:val="008768"/>
                <w:sz w:val="22"/>
                <w:szCs w:val="22"/>
              </w:rPr>
              <w:t>Checked by</w:t>
            </w:r>
            <w:bookmarkEnd w:id="4"/>
          </w:p>
        </w:tc>
        <w:tc>
          <w:tcPr>
            <w:tcW w:w="288" w:type="dxa"/>
            <w:tcBorders>
              <w:bottom w:val="nil"/>
            </w:tcBorders>
            <w:noWrap w:val="0"/>
            <w:tcMar>
              <w:top w:w="33" w:type="dxa"/>
              <w:left w:w="0" w:type="dxa"/>
              <w:bottom w:w="28" w:type="dxa"/>
              <w:right w:w="118" w:type="dxa"/>
            </w:tcMar>
            <w:vAlign w:val="top"/>
          </w:tcPr>
          <w:p>
            <w:pPr>
              <w:spacing w:before="40" w:after="40" w:line="240" w:lineRule="auto"/>
              <w:rPr>
                <w:rFonts w:ascii="Arial" w:eastAsia="Arial" w:hAnsi="Arial" w:cs="Arial"/>
                <w:b/>
                <w:bCs/>
                <w:i w:val="0"/>
                <w:iCs w:val="0"/>
                <w:smallCaps w:val="0"/>
                <w:color w:val="008768"/>
                <w:sz w:val="22"/>
                <w:szCs w:val="22"/>
              </w:rPr>
            </w:pPr>
          </w:p>
        </w:tc>
        <w:tc>
          <w:tcPr>
            <w:tcW w:w="2027"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5" w:name="Text_VerifiedBy"/>
            <w:r>
              <w:rPr>
                <w:b/>
                <w:bCs/>
                <w:i w:val="0"/>
                <w:iCs w:val="0"/>
                <w:smallCaps w:val="0"/>
                <w:color w:val="008768"/>
                <w:sz w:val="22"/>
                <w:szCs w:val="22"/>
              </w:rPr>
              <w:t>Verified by</w:t>
            </w:r>
            <w:bookmarkEnd w:id="5"/>
          </w:p>
        </w:tc>
        <w:tc>
          <w:tcPr>
            <w:tcW w:w="289" w:type="dxa"/>
            <w:tcBorders>
              <w:bottom w:val="nil"/>
            </w:tcBorders>
            <w:noWrap w:val="0"/>
            <w:tcMar>
              <w:top w:w="33" w:type="dxa"/>
              <w:left w:w="0" w:type="dxa"/>
              <w:bottom w:w="28" w:type="dxa"/>
              <w:right w:w="118" w:type="dxa"/>
            </w:tcMar>
            <w:vAlign w:val="top"/>
          </w:tcPr>
          <w:p>
            <w:pPr>
              <w:spacing w:before="40" w:after="40" w:line="240" w:lineRule="auto"/>
              <w:rPr>
                <w:rFonts w:ascii="Arial" w:eastAsia="Arial" w:hAnsi="Arial" w:cs="Arial"/>
                <w:b/>
                <w:bCs/>
                <w:i w:val="0"/>
                <w:iCs w:val="0"/>
                <w:smallCaps w:val="0"/>
                <w:color w:val="008768"/>
                <w:sz w:val="22"/>
                <w:szCs w:val="22"/>
              </w:rPr>
            </w:pPr>
          </w:p>
        </w:tc>
        <w:tc>
          <w:tcPr>
            <w:tcW w:w="2027"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6" w:name="Text_ApprovedBy"/>
            <w:r>
              <w:rPr>
                <w:b/>
                <w:bCs/>
                <w:i w:val="0"/>
                <w:iCs w:val="0"/>
                <w:smallCaps w:val="0"/>
                <w:color w:val="008768"/>
                <w:sz w:val="22"/>
                <w:szCs w:val="22"/>
              </w:rPr>
              <w:t>Approved by</w:t>
            </w:r>
            <w:bookmarkEnd w:id="6"/>
          </w:p>
        </w:tc>
      </w:tr>
      <w:tr>
        <w:tblPrEx>
          <w:tblW w:w="4932" w:type="pct"/>
          <w:tblCellMar>
            <w:top w:w="0" w:type="dxa"/>
            <w:left w:w="0" w:type="dxa"/>
            <w:bottom w:w="0" w:type="dxa"/>
            <w:right w:w="0" w:type="dxa"/>
          </w:tblCellMar>
        </w:tblPrEx>
        <w:tc>
          <w:tcPr>
            <w:tcW w:w="2027" w:type="dxa"/>
            <w:tcBorders>
              <w:top w:val="single" w:sz="4" w:space="0" w:color="000000"/>
              <w:bottom w:val="single" w:sz="4" w:space="0" w:color="000000"/>
            </w:tcBorders>
            <w:noWrap w:val="0"/>
            <w:tcMar>
              <w:top w:w="28" w:type="dxa"/>
              <w:left w:w="0" w:type="dxa"/>
              <w:bottom w:w="28" w:type="dxa"/>
              <w:right w:w="118" w:type="dxa"/>
            </w:tcMar>
            <w:vAlign w:val="center"/>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 xml:space="preserve">Ian McCluskey </w:t>
            </w:r>
          </w:p>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Associate Consultant</w:t>
            </w:r>
          </w:p>
        </w:tc>
        <w:tc>
          <w:tcPr>
            <w:tcW w:w="145" w:type="dxa"/>
            <w:tcBorders>
              <w:top w:val="nil"/>
              <w:bottom w:val="nil"/>
            </w:tcBorders>
            <w:noWrap w:val="0"/>
            <w:tcMar>
              <w:top w:w="28" w:type="dxa"/>
              <w:left w:w="0" w:type="dxa"/>
              <w:bottom w:w="28" w:type="dxa"/>
              <w:right w:w="118" w:type="dxa"/>
            </w:tcMar>
            <w:vAlign w:val="center"/>
          </w:tcPr>
          <w:p>
            <w:pPr>
              <w:spacing w:before="40" w:after="40" w:line="240" w:lineRule="auto"/>
              <w:rPr>
                <w:rFonts w:ascii="Arial" w:eastAsia="Arial" w:hAnsi="Arial" w:cs="Arial"/>
                <w:b w:val="0"/>
                <w:bCs w:val="0"/>
                <w:i w:val="0"/>
                <w:iCs w:val="0"/>
                <w:smallCaps w:val="0"/>
                <w:color w:val="000000"/>
                <w:sz w:val="22"/>
                <w:szCs w:val="22"/>
              </w:rPr>
            </w:pPr>
          </w:p>
        </w:tc>
        <w:tc>
          <w:tcPr>
            <w:tcW w:w="2170" w:type="dxa"/>
            <w:tcBorders>
              <w:top w:val="single" w:sz="4" w:space="0" w:color="000000"/>
              <w:bottom w:val="single" w:sz="4" w:space="0" w:color="000000"/>
            </w:tcBorders>
            <w:noWrap w:val="0"/>
            <w:tcMar>
              <w:top w:w="28" w:type="dxa"/>
              <w:left w:w="0" w:type="dxa"/>
              <w:bottom w:w="28" w:type="dxa"/>
              <w:right w:w="118" w:type="dxa"/>
            </w:tcMar>
            <w:vAlign w:val="center"/>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Anthony Whitaker</w:t>
            </w:r>
          </w:p>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 xml:space="preserve">Principal Consultant </w:t>
            </w:r>
          </w:p>
        </w:tc>
        <w:tc>
          <w:tcPr>
            <w:tcW w:w="288" w:type="dxa"/>
            <w:tcBorders>
              <w:top w:val="nil"/>
              <w:bottom w:val="nil"/>
            </w:tcBorders>
            <w:noWrap w:val="0"/>
            <w:tcMar>
              <w:top w:w="28" w:type="dxa"/>
              <w:left w:w="0" w:type="dxa"/>
              <w:bottom w:w="28" w:type="dxa"/>
              <w:right w:w="118" w:type="dxa"/>
            </w:tcMar>
            <w:vAlign w:val="center"/>
          </w:tcPr>
          <w:p>
            <w:pPr>
              <w:spacing w:before="40" w:after="40" w:line="240" w:lineRule="auto"/>
              <w:rPr>
                <w:rFonts w:ascii="Arial" w:eastAsia="Arial" w:hAnsi="Arial" w:cs="Arial"/>
                <w:b w:val="0"/>
                <w:bCs w:val="0"/>
                <w:i w:val="0"/>
                <w:iCs w:val="0"/>
                <w:smallCaps w:val="0"/>
                <w:color w:val="000000"/>
                <w:sz w:val="22"/>
                <w:szCs w:val="22"/>
              </w:rPr>
            </w:pPr>
          </w:p>
        </w:tc>
        <w:tc>
          <w:tcPr>
            <w:tcW w:w="2027" w:type="dxa"/>
            <w:tcBorders>
              <w:top w:val="single" w:sz="4" w:space="0" w:color="000000"/>
              <w:bottom w:val="single" w:sz="4" w:space="0" w:color="000000"/>
            </w:tcBorders>
            <w:noWrap w:val="0"/>
            <w:tcMar>
              <w:top w:w="28" w:type="dxa"/>
              <w:left w:w="0" w:type="dxa"/>
              <w:bottom w:w="28" w:type="dxa"/>
              <w:right w:w="118" w:type="dxa"/>
            </w:tcMar>
            <w:vAlign w:val="center"/>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Anthony Whitaker</w:t>
            </w:r>
          </w:p>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Principal Consultant</w:t>
            </w:r>
          </w:p>
        </w:tc>
        <w:tc>
          <w:tcPr>
            <w:tcW w:w="289" w:type="dxa"/>
            <w:tcBorders>
              <w:top w:val="nil"/>
              <w:bottom w:val="nil"/>
            </w:tcBorders>
            <w:noWrap w:val="0"/>
            <w:tcMar>
              <w:top w:w="28" w:type="dxa"/>
              <w:left w:w="0" w:type="dxa"/>
              <w:bottom w:w="28" w:type="dxa"/>
              <w:right w:w="118" w:type="dxa"/>
            </w:tcMar>
            <w:vAlign w:val="center"/>
          </w:tcPr>
          <w:p>
            <w:pPr>
              <w:spacing w:before="40" w:after="40" w:line="240" w:lineRule="auto"/>
              <w:rPr>
                <w:rFonts w:ascii="Arial" w:eastAsia="Arial" w:hAnsi="Arial" w:cs="Arial"/>
                <w:b w:val="0"/>
                <w:bCs w:val="0"/>
                <w:i w:val="0"/>
                <w:iCs w:val="0"/>
                <w:smallCaps w:val="0"/>
                <w:color w:val="000000"/>
                <w:sz w:val="22"/>
                <w:szCs w:val="22"/>
              </w:rPr>
            </w:pPr>
          </w:p>
        </w:tc>
        <w:tc>
          <w:tcPr>
            <w:tcW w:w="2027" w:type="dxa"/>
            <w:tcBorders>
              <w:top w:val="single" w:sz="4" w:space="0" w:color="000000"/>
              <w:bottom w:val="single" w:sz="4" w:space="0" w:color="000000"/>
            </w:tcBorders>
            <w:noWrap w:val="0"/>
            <w:tcMar>
              <w:top w:w="28" w:type="dxa"/>
              <w:left w:w="0" w:type="dxa"/>
              <w:bottom w:w="28" w:type="dxa"/>
              <w:right w:w="118" w:type="dxa"/>
            </w:tcMar>
            <w:vAlign w:val="center"/>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Anthony Whitaker</w:t>
            </w:r>
          </w:p>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Principal Consultant</w:t>
            </w:r>
          </w:p>
        </w:tc>
      </w:tr>
      <w:tr>
        <w:tblPrEx>
          <w:tblW w:w="4932" w:type="pct"/>
          <w:tblCellMar>
            <w:top w:w="0" w:type="dxa"/>
            <w:left w:w="0" w:type="dxa"/>
            <w:bottom w:w="0" w:type="dxa"/>
            <w:right w:w="0" w:type="dxa"/>
          </w:tblCellMar>
        </w:tblPrEx>
        <w:tc>
          <w:tcPr>
            <w:tcW w:w="2027" w:type="dxa"/>
            <w:tcBorders>
              <w:top w:val="single" w:sz="4" w:space="0" w:color="000000"/>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bookmarkStart w:id="7" w:name="Contact2"/>
            <w:bookmarkEnd w:id="7"/>
          </w:p>
        </w:tc>
        <w:tc>
          <w:tcPr>
            <w:tcW w:w="145" w:type="dxa"/>
            <w:tcBorders>
              <w:top w:val="nil"/>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2170" w:type="dxa"/>
            <w:tcBorders>
              <w:top w:val="single" w:sz="4" w:space="0" w:color="000000"/>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bookmarkStart w:id="8" w:name="CheckedBy"/>
            <w:bookmarkEnd w:id="8"/>
          </w:p>
        </w:tc>
        <w:tc>
          <w:tcPr>
            <w:tcW w:w="288" w:type="dxa"/>
            <w:tcBorders>
              <w:top w:val="nil"/>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2027" w:type="dxa"/>
            <w:tcBorders>
              <w:top w:val="single" w:sz="4" w:space="0" w:color="000000"/>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bookmarkStart w:id="9" w:name="VerifiedBy"/>
            <w:bookmarkEnd w:id="9"/>
          </w:p>
        </w:tc>
        <w:tc>
          <w:tcPr>
            <w:tcW w:w="289" w:type="dxa"/>
            <w:tcBorders>
              <w:top w:val="nil"/>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2027" w:type="dxa"/>
            <w:tcBorders>
              <w:top w:val="single" w:sz="4" w:space="0" w:color="000000"/>
            </w:tcBorders>
            <w:noWrap w:val="0"/>
            <w:tcMar>
              <w:top w:w="28" w:type="dxa"/>
              <w:left w:w="0" w:type="dxa"/>
              <w:bottom w:w="33"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bookmarkStart w:id="10" w:name="ApprovedBy"/>
            <w:bookmarkEnd w:id="10"/>
          </w:p>
        </w:tc>
      </w:tr>
    </w:tbl>
    <w:p>
      <w:pPr>
        <w:spacing w:before="0" w:after="180"/>
        <w:rPr>
          <w:rFonts w:ascii="Arial" w:eastAsia="Arial" w:hAnsi="Arial" w:cs="Arial"/>
          <w:sz w:val="18"/>
          <w:szCs w:val="18"/>
        </w:rPr>
      </w:pPr>
    </w:p>
    <w:p>
      <w:pPr>
        <w:spacing w:before="0" w:after="0"/>
        <w:rPr>
          <w:rFonts w:ascii="Arial" w:eastAsia="Arial" w:hAnsi="Arial" w:cs="Arial"/>
          <w:sz w:val="18"/>
          <w:szCs w:val="18"/>
        </w:rPr>
      </w:pPr>
    </w:p>
    <w:p>
      <w:pPr>
        <w:spacing w:before="0" w:after="120"/>
      </w:pPr>
      <w:bookmarkStart w:id="11" w:name="Text_RevisionHistory"/>
      <w:r>
        <w:rPr>
          <w:sz w:val="24"/>
          <w:szCs w:val="24"/>
        </w:rPr>
        <w:t>Revision History</w:t>
      </w:r>
      <w:bookmarkEnd w:id="11"/>
    </w:p>
    <w:tbl>
      <w:tblPr>
        <w:tblW w:w="4950" w:type="pct"/>
        <w:tblBorders>
          <w:insideH w:val="single" w:sz="4" w:space="0" w:color="000000"/>
        </w:tblBorders>
        <w:tblCellMar>
          <w:top w:w="0" w:type="dxa"/>
          <w:left w:w="0" w:type="dxa"/>
          <w:bottom w:w="0" w:type="dxa"/>
          <w:right w:w="0" w:type="dxa"/>
        </w:tblCellMar>
      </w:tblPr>
      <w:tblGrid>
        <w:gridCol w:w="1117"/>
        <w:gridCol w:w="1426"/>
        <w:gridCol w:w="1906"/>
        <w:gridCol w:w="1591"/>
        <w:gridCol w:w="1483"/>
        <w:gridCol w:w="1413"/>
      </w:tblGrid>
      <w:tr>
        <w:tblPrEx>
          <w:tblW w:w="4950" w:type="pct"/>
          <w:tblBorders>
            <w:insideH w:val="single" w:sz="4" w:space="0" w:color="000000"/>
          </w:tblBorders>
          <w:tblCellMar>
            <w:top w:w="0" w:type="dxa"/>
            <w:left w:w="0" w:type="dxa"/>
            <w:bottom w:w="0" w:type="dxa"/>
            <w:right w:w="0" w:type="dxa"/>
          </w:tblCellMar>
        </w:tblPrEx>
        <w:tc>
          <w:tcPr>
            <w:tcW w:w="1040"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12" w:name="Text_Revision"/>
            <w:r>
              <w:rPr>
                <w:b/>
                <w:bCs/>
                <w:i w:val="0"/>
                <w:iCs w:val="0"/>
                <w:smallCaps w:val="0"/>
                <w:color w:val="008768"/>
                <w:sz w:val="22"/>
                <w:szCs w:val="22"/>
              </w:rPr>
              <w:t>Revision</w:t>
            </w:r>
            <w:bookmarkEnd w:id="12"/>
          </w:p>
        </w:tc>
        <w:tc>
          <w:tcPr>
            <w:tcW w:w="1361"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13" w:name="Text_RevisionDate"/>
            <w:r>
              <w:rPr>
                <w:b/>
                <w:bCs/>
                <w:i w:val="0"/>
                <w:iCs w:val="0"/>
                <w:smallCaps w:val="0"/>
                <w:color w:val="008768"/>
                <w:sz w:val="22"/>
                <w:szCs w:val="22"/>
              </w:rPr>
              <w:t>Revision date</w:t>
            </w:r>
            <w:bookmarkEnd w:id="13"/>
          </w:p>
        </w:tc>
        <w:tc>
          <w:tcPr>
            <w:tcW w:w="2028"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14" w:name="Text_Details"/>
            <w:r>
              <w:rPr>
                <w:b/>
                <w:bCs/>
                <w:i w:val="0"/>
                <w:iCs w:val="0"/>
                <w:smallCaps w:val="0"/>
                <w:color w:val="008768"/>
                <w:sz w:val="22"/>
                <w:szCs w:val="22"/>
              </w:rPr>
              <w:t>Details</w:t>
            </w:r>
            <w:bookmarkEnd w:id="14"/>
          </w:p>
        </w:tc>
        <w:tc>
          <w:tcPr>
            <w:tcW w:w="1674"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bookmarkStart w:id="15" w:name="Text_Authorized"/>
            <w:r>
              <w:rPr>
                <w:b/>
                <w:bCs/>
                <w:i w:val="0"/>
                <w:iCs w:val="0"/>
                <w:smallCaps w:val="0"/>
                <w:color w:val="008768"/>
                <w:sz w:val="22"/>
                <w:szCs w:val="22"/>
              </w:rPr>
              <w:t>Authorized</w:t>
            </w:r>
            <w:bookmarkEnd w:id="15"/>
          </w:p>
        </w:tc>
        <w:tc>
          <w:tcPr>
            <w:tcW w:w="1420"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bookmarkStart w:id="16" w:name="Text_Name"/>
            <w:r>
              <w:rPr>
                <w:b/>
                <w:bCs/>
                <w:i w:val="0"/>
                <w:iCs w:val="0"/>
                <w:smallCaps w:val="0"/>
                <w:color w:val="008768"/>
                <w:sz w:val="22"/>
                <w:szCs w:val="22"/>
              </w:rPr>
              <w:t>Initials</w:t>
            </w:r>
            <w:bookmarkEnd w:id="16"/>
          </w:p>
        </w:tc>
        <w:tc>
          <w:tcPr>
            <w:tcW w:w="1473" w:type="dxa"/>
            <w:tcBorders>
              <w:bottom w:val="single" w:sz="12" w:space="0" w:color="008768"/>
            </w:tcBorders>
            <w:noWrap w:val="0"/>
            <w:tcMar>
              <w:top w:w="33"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17" w:name="Text_Position"/>
            <w:r>
              <w:rPr>
                <w:b/>
                <w:bCs/>
                <w:i w:val="0"/>
                <w:iCs w:val="0"/>
                <w:smallCaps w:val="0"/>
                <w:color w:val="008768"/>
                <w:sz w:val="22"/>
                <w:szCs w:val="22"/>
              </w:rPr>
              <w:t>Position</w:t>
            </w:r>
            <w:bookmarkEnd w:id="17"/>
          </w:p>
        </w:tc>
      </w:tr>
      <w:tr>
        <w:tblPrEx>
          <w:tblW w:w="4950" w:type="pct"/>
          <w:tblCellMar>
            <w:top w:w="0" w:type="dxa"/>
            <w:left w:w="0" w:type="dxa"/>
            <w:bottom w:w="0" w:type="dxa"/>
            <w:right w:w="0" w:type="dxa"/>
          </w:tblCellMar>
        </w:tblPrEx>
        <w:tc>
          <w:tcPr>
            <w:tcW w:w="1040"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bookmarkStart w:id="18" w:name="RevisionStatus"/>
            <w:bookmarkEnd w:id="18"/>
            <w:r>
              <w:rPr>
                <w:b w:val="0"/>
                <w:bCs w:val="0"/>
                <w:i w:val="0"/>
                <w:iCs w:val="0"/>
                <w:smallCaps w:val="0"/>
                <w:color w:val="000000"/>
                <w:sz w:val="22"/>
                <w:szCs w:val="22"/>
              </w:rPr>
              <w:t>V1</w:t>
            </w:r>
          </w:p>
        </w:tc>
        <w:tc>
          <w:tcPr>
            <w:tcW w:w="1361"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 xml:space="preserve">July </w:t>
            </w:r>
            <w:r>
              <w:rPr>
                <w:b w:val="0"/>
                <w:bCs w:val="0"/>
                <w:i w:val="0"/>
                <w:iCs w:val="0"/>
                <w:smallCaps w:val="0"/>
                <w:color w:val="000000"/>
                <w:sz w:val="22"/>
                <w:szCs w:val="22"/>
              </w:rPr>
              <w:t xml:space="preserve"> </w:t>
            </w:r>
            <w:r>
              <w:rPr>
                <w:b w:val="0"/>
                <w:bCs w:val="0"/>
                <w:i w:val="0"/>
                <w:iCs w:val="0"/>
                <w:smallCaps w:val="0"/>
                <w:color w:val="000000"/>
                <w:sz w:val="22"/>
                <w:szCs w:val="22"/>
              </w:rPr>
              <w:t>2023</w:t>
            </w:r>
          </w:p>
        </w:tc>
        <w:tc>
          <w:tcPr>
            <w:tcW w:w="2028"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Draft for internal review</w:t>
            </w:r>
          </w:p>
        </w:tc>
        <w:tc>
          <w:tcPr>
            <w:tcW w:w="1674"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r>
              <w:rPr>
                <w:rFonts w:ascii="Wingdings" w:eastAsia="Wingdings" w:hAnsi="Wingdings" w:cs="Wingdings"/>
                <w:b w:val="0"/>
                <w:bCs w:val="0"/>
                <w:i w:val="0"/>
                <w:iCs w:val="0"/>
                <w:smallCaps w:val="0"/>
                <w:color w:val="000000"/>
                <w:sz w:val="22"/>
                <w:szCs w:val="22"/>
              </w:rPr>
              <w:sym w:font="Wingdings" w:char="F0FC"/>
            </w:r>
          </w:p>
        </w:tc>
        <w:tc>
          <w:tcPr>
            <w:tcW w:w="1420"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r>
              <w:rPr>
                <w:b w:val="0"/>
                <w:bCs w:val="0"/>
                <w:i w:val="0"/>
                <w:iCs w:val="0"/>
                <w:smallCaps w:val="0"/>
                <w:color w:val="000000"/>
                <w:sz w:val="22"/>
                <w:szCs w:val="22"/>
              </w:rPr>
              <w:t>IM</w:t>
            </w:r>
          </w:p>
        </w:tc>
        <w:tc>
          <w:tcPr>
            <w:tcW w:w="147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Consultant</w:t>
            </w:r>
          </w:p>
        </w:tc>
      </w:tr>
      <w:tr>
        <w:tblPrEx>
          <w:tblW w:w="4950" w:type="pct"/>
          <w:tblCellMar>
            <w:top w:w="0" w:type="dxa"/>
            <w:left w:w="0" w:type="dxa"/>
            <w:bottom w:w="0" w:type="dxa"/>
            <w:right w:w="0" w:type="dxa"/>
          </w:tblCellMar>
        </w:tblPrEx>
        <w:tc>
          <w:tcPr>
            <w:tcW w:w="1040"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Final</w:t>
            </w:r>
          </w:p>
        </w:tc>
        <w:tc>
          <w:tcPr>
            <w:tcW w:w="1361"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July 2023</w:t>
            </w:r>
          </w:p>
        </w:tc>
        <w:tc>
          <w:tcPr>
            <w:tcW w:w="2028"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Final for client</w:t>
            </w:r>
          </w:p>
        </w:tc>
        <w:tc>
          <w:tcPr>
            <w:tcW w:w="1674"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r>
              <w:rPr>
                <w:rFonts w:ascii="Wingdings" w:eastAsia="Wingdings" w:hAnsi="Wingdings" w:cs="Wingdings"/>
                <w:b w:val="0"/>
                <w:bCs w:val="0"/>
                <w:i w:val="0"/>
                <w:iCs w:val="0"/>
                <w:smallCaps w:val="0"/>
                <w:color w:val="000000"/>
                <w:sz w:val="22"/>
                <w:szCs w:val="22"/>
              </w:rPr>
              <w:sym w:font="Wingdings" w:char="F0FC"/>
            </w:r>
          </w:p>
        </w:tc>
        <w:tc>
          <w:tcPr>
            <w:tcW w:w="1420"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jc w:val="center"/>
              <w:rPr>
                <w:b w:val="0"/>
                <w:bCs w:val="0"/>
                <w:i w:val="0"/>
                <w:iCs w:val="0"/>
                <w:smallCaps w:val="0"/>
                <w:color w:val="000000"/>
                <w:sz w:val="22"/>
                <w:szCs w:val="22"/>
              </w:rPr>
            </w:pPr>
            <w:r>
              <w:rPr>
                <w:b w:val="0"/>
                <w:bCs w:val="0"/>
                <w:i w:val="0"/>
                <w:iCs w:val="0"/>
                <w:smallCaps w:val="0"/>
                <w:color w:val="000000"/>
                <w:sz w:val="22"/>
                <w:szCs w:val="22"/>
              </w:rPr>
              <w:t>IM</w:t>
            </w:r>
          </w:p>
        </w:tc>
        <w:tc>
          <w:tcPr>
            <w:tcW w:w="147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Consultant</w:t>
            </w:r>
          </w:p>
        </w:tc>
      </w:tr>
      <w:tr>
        <w:tblPrEx>
          <w:tblW w:w="4950" w:type="pct"/>
          <w:tblCellMar>
            <w:top w:w="0" w:type="dxa"/>
            <w:left w:w="0" w:type="dxa"/>
            <w:bottom w:w="0" w:type="dxa"/>
            <w:right w:w="0" w:type="dxa"/>
          </w:tblCellMar>
        </w:tblPrEx>
        <w:tc>
          <w:tcPr>
            <w:tcW w:w="1040"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1361"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2028"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1674"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jc w:val="center"/>
              <w:rPr>
                <w:rFonts w:ascii="Arial" w:eastAsia="Arial" w:hAnsi="Arial" w:cs="Arial"/>
                <w:b w:val="0"/>
                <w:bCs w:val="0"/>
                <w:i w:val="0"/>
                <w:iCs w:val="0"/>
                <w:smallCaps w:val="0"/>
                <w:color w:val="000000"/>
                <w:sz w:val="22"/>
                <w:szCs w:val="22"/>
              </w:rPr>
            </w:pPr>
          </w:p>
        </w:tc>
        <w:tc>
          <w:tcPr>
            <w:tcW w:w="1420"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jc w:val="center"/>
              <w:rPr>
                <w:rFonts w:ascii="Arial" w:eastAsia="Arial" w:hAnsi="Arial" w:cs="Arial"/>
                <w:b w:val="0"/>
                <w:bCs w:val="0"/>
                <w:i w:val="0"/>
                <w:iCs w:val="0"/>
                <w:smallCaps w:val="0"/>
                <w:color w:val="000000"/>
                <w:sz w:val="22"/>
                <w:szCs w:val="22"/>
              </w:rPr>
            </w:pPr>
          </w:p>
        </w:tc>
        <w:tc>
          <w:tcPr>
            <w:tcW w:w="1473"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r>
      <w:tr>
        <w:tblPrEx>
          <w:tblW w:w="4950" w:type="pct"/>
          <w:tblCellMar>
            <w:top w:w="0" w:type="dxa"/>
            <w:left w:w="0" w:type="dxa"/>
            <w:bottom w:w="0" w:type="dxa"/>
            <w:right w:w="0" w:type="dxa"/>
          </w:tblCellMar>
        </w:tblPrEx>
        <w:tc>
          <w:tcPr>
            <w:tcW w:w="1040"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1361"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2028"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c>
          <w:tcPr>
            <w:tcW w:w="1674"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jc w:val="center"/>
              <w:rPr>
                <w:rFonts w:ascii="Arial" w:eastAsia="Arial" w:hAnsi="Arial" w:cs="Arial"/>
                <w:b w:val="0"/>
                <w:bCs w:val="0"/>
                <w:i w:val="0"/>
                <w:iCs w:val="0"/>
                <w:smallCaps w:val="0"/>
                <w:color w:val="000000"/>
                <w:sz w:val="22"/>
                <w:szCs w:val="22"/>
              </w:rPr>
            </w:pPr>
          </w:p>
        </w:tc>
        <w:tc>
          <w:tcPr>
            <w:tcW w:w="1420"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jc w:val="center"/>
              <w:rPr>
                <w:rFonts w:ascii="Arial" w:eastAsia="Arial" w:hAnsi="Arial" w:cs="Arial"/>
                <w:b w:val="0"/>
                <w:bCs w:val="0"/>
                <w:i w:val="0"/>
                <w:iCs w:val="0"/>
                <w:smallCaps w:val="0"/>
                <w:color w:val="000000"/>
                <w:sz w:val="22"/>
                <w:szCs w:val="22"/>
              </w:rPr>
            </w:pPr>
          </w:p>
        </w:tc>
        <w:tc>
          <w:tcPr>
            <w:tcW w:w="1473" w:type="dxa"/>
            <w:tcBorders>
              <w:top w:val="single" w:sz="4" w:space="0" w:color="000000"/>
              <w:bottom w:val="single" w:sz="4" w:space="0" w:color="000000"/>
            </w:tcBorders>
            <w:noWrap w:val="0"/>
            <w:tcMar>
              <w:top w:w="28" w:type="dxa"/>
              <w:left w:w="0" w:type="dxa"/>
              <w:bottom w:w="28" w:type="dxa"/>
              <w:right w:w="118" w:type="dxa"/>
            </w:tcMar>
            <w:vAlign w:val="top"/>
          </w:tcPr>
          <w:p>
            <w:pPr>
              <w:spacing w:before="40" w:after="40" w:line="240" w:lineRule="auto"/>
              <w:rPr>
                <w:rFonts w:ascii="Arial" w:eastAsia="Arial" w:hAnsi="Arial" w:cs="Arial"/>
                <w:b w:val="0"/>
                <w:bCs w:val="0"/>
                <w:i w:val="0"/>
                <w:iCs w:val="0"/>
                <w:smallCaps w:val="0"/>
                <w:color w:val="000000"/>
                <w:sz w:val="22"/>
                <w:szCs w:val="22"/>
              </w:rPr>
            </w:pPr>
          </w:p>
        </w:tc>
      </w:tr>
    </w:tbl>
    <w:p>
      <w:pPr>
        <w:spacing w:before="0" w:after="0" w:line="240" w:lineRule="auto"/>
        <w:rPr>
          <w:rFonts w:ascii="Arial" w:eastAsia="Arial" w:hAnsi="Arial" w:cs="Arial"/>
          <w:sz w:val="18"/>
          <w:szCs w:val="18"/>
        </w:rPr>
      </w:pPr>
    </w:p>
    <w:p>
      <w:pPr>
        <w:spacing w:before="0" w:after="0" w:line="240" w:lineRule="auto"/>
        <w:rPr>
          <w:rFonts w:ascii="Arial" w:eastAsia="Arial" w:hAnsi="Arial" w:cs="Arial"/>
          <w:sz w:val="18"/>
          <w:szCs w:val="18"/>
        </w:rPr>
      </w:pPr>
    </w:p>
    <w:p>
      <w:pPr>
        <w:spacing w:before="0" w:after="180"/>
        <w:rPr>
          <w:rFonts w:ascii="Arial" w:eastAsia="Arial" w:hAnsi="Arial" w:cs="Arial"/>
          <w:sz w:val="18"/>
          <w:szCs w:val="18"/>
        </w:rPr>
      </w:pPr>
      <w:bookmarkEnd w:id="2"/>
    </w:p>
    <w:p>
      <w:pPr>
        <w:spacing w:before="0" w:after="120"/>
      </w:pPr>
      <w:bookmarkStart w:id="19" w:name="Text_PreparedFor"/>
      <w:r>
        <w:rPr>
          <w:sz w:val="22"/>
          <w:szCs w:val="22"/>
        </w:rPr>
        <w:t>Prepared for</w:t>
      </w:r>
      <w:bookmarkEnd w:id="19"/>
      <w:r>
        <w:rPr>
          <w:sz w:val="22"/>
          <w:szCs w:val="22"/>
        </w:rPr>
        <w:t>:</w:t>
      </w:r>
    </w:p>
    <w:p>
      <w:pPr>
        <w:spacing w:before="0" w:after="0"/>
      </w:pPr>
      <w:r>
        <w:rPr>
          <w:sz w:val="22"/>
          <w:szCs w:val="22"/>
        </w:rPr>
        <w:t xml:space="preserve">  </w:t>
      </w:r>
      <w:r>
        <w:rPr>
          <w:sz w:val="22"/>
          <w:szCs w:val="22"/>
        </w:rPr>
        <w:t xml:space="preserve"> </w:t>
      </w:r>
    </w:p>
    <w:p>
      <w:pPr>
        <w:spacing w:before="0" w:after="0"/>
      </w:pPr>
      <w:bookmarkStart w:id="20" w:name="FooterClientAddress"/>
      <w:bookmarkEnd w:id="20"/>
      <w:r>
        <w:rPr>
          <w:sz w:val="22"/>
          <w:szCs w:val="22"/>
        </w:rPr>
        <w:t xml:space="preserve">Uttlesford District Council </w:t>
      </w:r>
    </w:p>
    <w:p>
      <w:pPr>
        <w:spacing w:before="0" w:after="180"/>
        <w:rPr>
          <w:rFonts w:ascii="Arial" w:eastAsia="Arial" w:hAnsi="Arial" w:cs="Arial"/>
          <w:sz w:val="22"/>
          <w:szCs w:val="22"/>
        </w:rPr>
      </w:pPr>
    </w:p>
    <w:p>
      <w:pPr>
        <w:spacing w:before="0" w:after="120"/>
      </w:pPr>
      <w:bookmarkStart w:id="21" w:name="Text_PreparedBy_1"/>
      <w:r>
        <w:rPr>
          <w:sz w:val="22"/>
          <w:szCs w:val="22"/>
        </w:rPr>
        <w:t>Prepared by</w:t>
      </w:r>
      <w:bookmarkEnd w:id="21"/>
      <w:r>
        <w:rPr>
          <w:sz w:val="22"/>
          <w:szCs w:val="22"/>
        </w:rPr>
        <w:t>:</w:t>
      </w:r>
    </w:p>
    <w:p>
      <w:pPr>
        <w:spacing w:before="0" w:after="0"/>
        <w:rPr>
          <w:rFonts w:ascii="Arial" w:eastAsia="Arial" w:hAnsi="Arial" w:cs="Arial"/>
          <w:sz w:val="22"/>
          <w:szCs w:val="22"/>
        </w:rPr>
      </w:pPr>
      <w:bookmarkStart w:id="22" w:name="Contact1"/>
    </w:p>
    <w:p>
      <w:pPr>
        <w:spacing w:before="0" w:after="0"/>
        <w:rPr>
          <w:rFonts w:ascii="Arial" w:eastAsia="Arial" w:hAnsi="Arial" w:cs="Arial"/>
          <w:sz w:val="22"/>
          <w:szCs w:val="22"/>
        </w:rPr>
      </w:pPr>
    </w:p>
    <w:p>
      <w:pPr>
        <w:spacing w:before="0" w:after="0"/>
      </w:pPr>
      <w:bookmarkEnd w:id="22"/>
      <w:r>
        <w:rPr>
          <w:sz w:val="22"/>
          <w:szCs w:val="22"/>
        </w:rPr>
        <w:t>‌</w:t>
      </w:r>
      <w:bookmarkStart w:id="23" w:name="OfficeAddress1"/>
      <w:r>
        <w:rPr>
          <w:sz w:val="22"/>
          <w:szCs w:val="22"/>
        </w:rPr>
        <w:t>AECOM Limited</w:t>
      </w:r>
    </w:p>
    <w:p>
      <w:pPr>
        <w:spacing w:before="0" w:after="0"/>
      </w:pPr>
      <w:r>
        <w:rPr>
          <w:sz w:val="22"/>
          <w:szCs w:val="22"/>
        </w:rPr>
        <w:t>aecom.com</w:t>
      </w:r>
      <w:bookmarkEnd w:id="23"/>
    </w:p>
    <w:p>
      <w:pPr>
        <w:spacing w:before="0" w:after="180"/>
        <w:rPr>
          <w:rFonts w:ascii="Arial" w:eastAsia="Arial" w:hAnsi="Arial" w:cs="Arial"/>
          <w:sz w:val="18"/>
          <w:szCs w:val="18"/>
        </w:rPr>
      </w:pPr>
    </w:p>
    <w:p>
      <w:pPr>
        <w:spacing w:before="0" w:after="180"/>
        <w:rPr>
          <w:rFonts w:ascii="Arial" w:eastAsia="Arial" w:hAnsi="Arial" w:cs="Arial"/>
          <w:sz w:val="18"/>
          <w:szCs w:val="18"/>
        </w:rPr>
      </w:pPr>
    </w:p>
    <w:p>
      <w:pPr>
        <w:spacing w:before="0" w:after="180"/>
        <w:rPr>
          <w:rFonts w:ascii="Arial" w:eastAsia="Arial" w:hAnsi="Arial" w:cs="Arial"/>
          <w:sz w:val="18"/>
          <w:szCs w:val="18"/>
        </w:rPr>
      </w:pPr>
    </w:p>
    <w:p>
      <w:pPr>
        <w:spacing w:before="0" w:after="120"/>
      </w:pPr>
      <w:r>
        <w:rPr>
          <w:sz w:val="24"/>
          <w:szCs w:val="24"/>
        </w:rPr>
        <w:t xml:space="preserve"> </w:t>
      </w:r>
    </w:p>
    <w:p>
      <w:pPr>
        <w:spacing w:before="180" w:after="0" w:line="240" w:lineRule="auto"/>
        <w:rPr>
          <w:rFonts w:ascii="Arial" w:eastAsia="Arial" w:hAnsi="Arial" w:cs="Arial"/>
          <w:sz w:val="18"/>
          <w:szCs w:val="18"/>
        </w:rPr>
      </w:pPr>
    </w:p>
    <w:p>
      <w:pPr>
        <w:spacing w:before="0" w:after="180"/>
      </w:pPr>
      <w:bookmarkStart w:id="24" w:name="Copyright"/>
      <w:r>
        <w:t>© 2023 AECOM Limited. All Rights Reserved.</w:t>
      </w:r>
      <w:r>
        <w:t> </w:t>
      </w:r>
      <w:r>
        <w:t xml:space="preserve"> </w:t>
      </w:r>
      <w:bookmarkEnd w:id="24"/>
    </w:p>
    <w:p>
      <w:pPr>
        <w:spacing w:before="0" w:after="180"/>
      </w:pPr>
      <w:bookmarkStart w:id="25" w:name="Disclaimer"/>
      <w:r>
        <w:t>This document has been prepared by AECOM Limited (“AECOM”) for sole use of our client (the “Client”) in accordance with generally accepted consultancy principles, the budget for fees and the terms of reference agreed between AECOM and the Client. Any information provided by third parties and referred to herein has not been checked or verified by AECOM, unless otherwise expressly stated in the document. No third party may rely upon this document without the prior and express written agreement of AECOM.</w:t>
      </w:r>
      <w:bookmarkEnd w:id="25"/>
    </w:p>
    <w:p>
      <w:pPr>
        <w:spacing w:before="0" w:after="180"/>
        <w:rPr>
          <w:rFonts w:ascii="Arial" w:eastAsia="Arial" w:hAnsi="Arial" w:cs="Arial"/>
          <w:sz w:val="18"/>
          <w:szCs w:val="18"/>
        </w:rPr>
      </w:pPr>
    </w:p>
    <w:p>
      <w:pPr>
        <w:keepNext/>
        <w:keepLines/>
        <w:spacing w:before="480" w:after="240" w:line="280" w:lineRule="atLeast"/>
      </w:pPr>
      <w:bookmarkStart w:id="26" w:name="Text_Contents"/>
      <w:bookmarkStart w:id="27" w:name="TOC"/>
      <w:r>
        <w:rPr>
          <w:b/>
          <w:bCs/>
          <w:color w:val="00353E"/>
          <w:sz w:val="28"/>
          <w:szCs w:val="28"/>
        </w:rPr>
        <w:t>Table of Contents</w:t>
      </w:r>
      <w:bookmarkEnd w:id="26"/>
    </w:p>
    <w:p>
      <w:pPr>
        <w:tabs>
          <w:tab w:val="left" w:pos="720"/>
        </w:tabs>
        <w:spacing w:before="0" w:after="40"/>
        <w:ind w:right="522"/>
        <w:rPr>
          <w:rFonts w:ascii="Arial" w:eastAsia="Arial" w:hAnsi="Arial" w:cs="Arial"/>
          <w:sz w:val="18"/>
          <w:szCs w:val="18"/>
        </w:rPr>
      </w:pPr>
      <w:r>
        <w:rPr>
          <w:sz w:val="24"/>
          <w:szCs w:val="24"/>
        </w:rPr>
        <w:t>1.</w:t>
      </w:r>
      <w:r>
        <w:rPr>
          <w:rFonts w:ascii="Arial" w:eastAsia="Arial" w:hAnsi="Arial" w:cs="Arial"/>
          <w:sz w:val="18"/>
          <w:szCs w:val="18"/>
        </w:rPr>
        <w:tab/>
      </w:r>
      <w:r>
        <w:rPr>
          <w:sz w:val="24"/>
          <w:szCs w:val="24"/>
        </w:rPr>
        <w:t>Introduction</w:t>
      </w:r>
    </w:p>
    <w:p>
      <w:pPr>
        <w:spacing w:before="0" w:after="40"/>
        <w:ind w:right="522"/>
      </w:pPr>
      <w:r>
        <w:t>Background to the District-Wide Design Code SPD</w:t>
      </w:r>
    </w:p>
    <w:p>
      <w:pPr>
        <w:spacing w:before="0" w:after="40"/>
        <w:ind w:right="522"/>
      </w:pPr>
      <w:r>
        <w:t>Legislative background</w:t>
      </w:r>
    </w:p>
    <w:p>
      <w:pPr>
        <w:spacing w:before="0" w:after="40"/>
        <w:ind w:right="522"/>
      </w:pPr>
      <w:r>
        <w:t>Screening process</w:t>
      </w:r>
    </w:p>
    <w:p>
      <w:pPr>
        <w:tabs>
          <w:tab w:val="left" w:pos="720"/>
        </w:tabs>
        <w:spacing w:before="0" w:after="40"/>
        <w:ind w:right="522"/>
        <w:rPr>
          <w:rFonts w:ascii="Arial" w:eastAsia="Arial" w:hAnsi="Arial" w:cs="Arial"/>
          <w:sz w:val="18"/>
          <w:szCs w:val="18"/>
        </w:rPr>
      </w:pPr>
      <w:r>
        <w:rPr>
          <w:sz w:val="24"/>
          <w:szCs w:val="24"/>
        </w:rPr>
        <w:t>2.</w:t>
      </w:r>
      <w:r>
        <w:rPr>
          <w:rFonts w:ascii="Arial" w:eastAsia="Arial" w:hAnsi="Arial" w:cs="Arial"/>
          <w:sz w:val="18"/>
          <w:szCs w:val="18"/>
        </w:rPr>
        <w:tab/>
      </w:r>
      <w:r>
        <w:rPr>
          <w:sz w:val="24"/>
          <w:szCs w:val="24"/>
        </w:rPr>
        <w:t>Assessment</w:t>
      </w:r>
    </w:p>
    <w:p>
      <w:pPr>
        <w:spacing w:before="0" w:after="40"/>
        <w:ind w:right="522"/>
      </w:pPr>
      <w:r>
        <w:t>Consideration of significant effects for each of the SEA issues</w:t>
      </w:r>
    </w:p>
    <w:p>
      <w:pPr>
        <w:spacing w:before="0" w:after="40"/>
      </w:pPr>
      <w:r>
        <w:t>Biodiversity, flora and fauna</w:t>
      </w:r>
    </w:p>
    <w:p>
      <w:pPr>
        <w:spacing w:before="0" w:after="40"/>
      </w:pPr>
      <w:r>
        <w:t>Material Assets, Population and Human health</w:t>
      </w:r>
    </w:p>
    <w:p>
      <w:pPr>
        <w:spacing w:before="0" w:after="40"/>
      </w:pPr>
      <w:r>
        <w:t>Soil</w:t>
      </w:r>
    </w:p>
    <w:p>
      <w:pPr>
        <w:spacing w:before="0" w:after="40"/>
      </w:pPr>
      <w:r>
        <w:t>Water</w:t>
      </w:r>
    </w:p>
    <w:p>
      <w:pPr>
        <w:spacing w:before="0" w:after="40"/>
      </w:pPr>
      <w:r>
        <w:t>Air</w:t>
      </w:r>
    </w:p>
    <w:p>
      <w:pPr>
        <w:spacing w:before="0" w:after="40"/>
      </w:pPr>
      <w:r>
        <w:t>Climatic factors</w:t>
      </w:r>
    </w:p>
    <w:p>
      <w:pPr>
        <w:spacing w:before="0" w:after="40"/>
      </w:pPr>
      <w:r>
        <w:t>Cultural heritage, including architectural and archaeological heritage</w:t>
      </w:r>
    </w:p>
    <w:p>
      <w:pPr>
        <w:spacing w:before="0" w:after="40"/>
      </w:pPr>
      <w:r>
        <w:t>Landscape</w:t>
      </w:r>
    </w:p>
    <w:p>
      <w:pPr>
        <w:tabs>
          <w:tab w:val="left" w:pos="720"/>
        </w:tabs>
        <w:spacing w:before="0" w:after="40"/>
        <w:ind w:right="522"/>
        <w:rPr>
          <w:rFonts w:ascii="Arial" w:eastAsia="Arial" w:hAnsi="Arial" w:cs="Arial"/>
          <w:sz w:val="18"/>
          <w:szCs w:val="18"/>
        </w:rPr>
      </w:pPr>
      <w:r>
        <w:rPr>
          <w:b/>
          <w:bCs/>
          <w:sz w:val="24"/>
          <w:szCs w:val="24"/>
        </w:rPr>
        <w:t>3.</w:t>
      </w:r>
      <w:r>
        <w:rPr>
          <w:rFonts w:ascii="Arial" w:eastAsia="Arial" w:hAnsi="Arial" w:cs="Arial"/>
          <w:b/>
          <w:bCs/>
          <w:sz w:val="18"/>
          <w:szCs w:val="18"/>
        </w:rPr>
        <w:tab/>
      </w:r>
      <w:r>
        <w:rPr>
          <w:b/>
          <w:bCs/>
          <w:sz w:val="24"/>
          <w:szCs w:val="24"/>
        </w:rPr>
        <w:t>Conclusions</w:t>
      </w:r>
    </w:p>
    <w:p>
      <w:pPr>
        <w:spacing w:before="0" w:after="40"/>
        <w:ind w:right="522"/>
      </w:pPr>
      <w:r>
        <w:t>Consultation</w:t>
      </w:r>
    </w:p>
    <w:p>
      <w:pPr>
        <w:spacing w:before="0" w:after="40"/>
        <w:ind w:right="522"/>
      </w:pPr>
      <w:r>
        <w:rPr>
          <w:sz w:val="24"/>
          <w:szCs w:val="24"/>
        </w:rPr>
        <w:t>Appendix A: Statutory Body Consultation Responses</w:t>
      </w:r>
    </w:p>
    <w:p>
      <w:pPr>
        <w:spacing w:before="0" w:after="180"/>
        <w:sectPr>
          <w:headerReference w:type="default" r:id="rId10"/>
          <w:footerReference w:type="default" r:id="rId11"/>
          <w:type w:val="nextPage"/>
          <w:pgSz w:w="11906" w:h="16838"/>
          <w:pgMar w:top="1134" w:right="1440" w:bottom="851" w:left="1440" w:header="708" w:footer="708"/>
          <w:cols w:space="708"/>
        </w:sectPr>
      </w:pPr>
      <w:bookmarkEnd w:id="27"/>
    </w:p>
    <w:p>
      <w:pPr>
        <w:pStyle w:val="Heading1"/>
        <w:numPr>
          <w:ilvl w:val="0"/>
          <w:numId w:val="1"/>
        </w:numPr>
        <w:tabs>
          <w:tab w:val="left" w:pos="567"/>
        </w:tabs>
        <w:spacing w:before="480" w:after="240" w:line="240" w:lineRule="auto"/>
        <w:ind w:left="567" w:hanging="567"/>
        <w:rPr>
          <w:b/>
          <w:bCs/>
          <w:sz w:val="48"/>
          <w:szCs w:val="48"/>
        </w:rPr>
      </w:pPr>
      <w:bookmarkStart w:id="28" w:name="_Toc452649761"/>
      <w:bookmarkStart w:id="29" w:name="_Toc453361456"/>
      <w:bookmarkStart w:id="30" w:name="_Toc453361468"/>
      <w:bookmarkStart w:id="31" w:name="_Toc453367032"/>
      <w:bookmarkStart w:id="32" w:name="_Toc453367066"/>
      <w:bookmarkStart w:id="33" w:name="_Toc453367120"/>
      <w:bookmarkStart w:id="34" w:name="_Toc453367134"/>
      <w:bookmarkStart w:id="35" w:name="_Toc453367147"/>
      <w:bookmarkStart w:id="36" w:name="_Toc453367158"/>
      <w:bookmarkStart w:id="37" w:name="_Toc454313834"/>
      <w:bookmarkStart w:id="38" w:name="Text_Introduction"/>
      <w:bookmarkStart w:id="39" w:name="_Toc140585478"/>
      <w:r>
        <w:rPr>
          <w:rFonts w:ascii="Arial" w:eastAsia="Arial" w:hAnsi="Arial" w:cs="Arial"/>
          <w:i w:val="0"/>
          <w:color w:val="00353E"/>
        </w:rPr>
        <w:t>Introduction</w:t>
      </w:r>
      <w:bookmarkEnd w:id="28"/>
      <w:bookmarkEnd w:id="29"/>
      <w:bookmarkEnd w:id="30"/>
      <w:bookmarkEnd w:id="31"/>
      <w:bookmarkEnd w:id="32"/>
      <w:bookmarkEnd w:id="33"/>
      <w:bookmarkEnd w:id="34"/>
      <w:bookmarkEnd w:id="35"/>
      <w:bookmarkEnd w:id="36"/>
      <w:bookmarkEnd w:id="37"/>
      <w:bookmarkEnd w:id="38"/>
      <w:bookmarkEnd w:id="39"/>
    </w:p>
    <w:p>
      <w:pPr>
        <w:numPr>
          <w:ilvl w:val="1"/>
          <w:numId w:val="1"/>
        </w:numPr>
        <w:tabs>
          <w:tab w:val="left" w:pos="567"/>
        </w:tabs>
        <w:spacing w:before="0" w:after="180"/>
        <w:ind w:left="567" w:hanging="567"/>
        <w:jc w:val="both"/>
      </w:pPr>
      <w:r>
        <w:rPr>
          <w:sz w:val="24"/>
          <w:szCs w:val="24"/>
        </w:rPr>
        <w:t xml:space="preserve">This screening report has been prepared to assist Uttlesford District Council in determining (i.e. screening) the District Wide Design Code Supplementary Planning Document (hereafter referred to as ‘the SPD’). </w:t>
      </w:r>
      <w:r>
        <w:rPr>
          <w:sz w:val="24"/>
          <w:szCs w:val="24"/>
        </w:rPr>
        <w:t xml:space="preserve"> </w:t>
      </w:r>
    </w:p>
    <w:p>
      <w:pPr>
        <w:numPr>
          <w:ilvl w:val="1"/>
          <w:numId w:val="1"/>
        </w:numPr>
        <w:tabs>
          <w:tab w:val="left" w:pos="567"/>
        </w:tabs>
        <w:spacing w:before="0" w:after="180"/>
        <w:ind w:left="567" w:hanging="567"/>
        <w:jc w:val="both"/>
      </w:pPr>
      <w:r>
        <w:rPr>
          <w:sz w:val="24"/>
          <w:szCs w:val="24"/>
        </w:rPr>
        <w:t xml:space="preserve">The purpose of screening is to inform the determination process as set out in Regulation 9 of the Environmental Assessment of Plans and Programmes Regulations (2004) – the ‘SEA Regulations’. </w:t>
      </w:r>
      <w:r>
        <w:rPr>
          <w:sz w:val="24"/>
          <w:szCs w:val="24"/>
        </w:rPr>
        <w:t xml:space="preserve"> </w:t>
      </w:r>
      <w:r>
        <w:rPr>
          <w:sz w:val="24"/>
          <w:szCs w:val="24"/>
        </w:rPr>
        <w:t xml:space="preserve">Regulation 9 requires that the responsible authority determines whether or not a ‘plan’ is likely to have significant effects. Before that determination is made they (the responsible authority) is required to consult the consultation bodies on the decision. </w:t>
      </w:r>
    </w:p>
    <w:p>
      <w:pPr>
        <w:numPr>
          <w:ilvl w:val="1"/>
          <w:numId w:val="1"/>
        </w:numPr>
        <w:tabs>
          <w:tab w:val="left" w:pos="567"/>
        </w:tabs>
        <w:spacing w:before="0" w:after="180"/>
        <w:ind w:left="567" w:hanging="567"/>
        <w:jc w:val="both"/>
      </w:pPr>
      <w:r>
        <w:rPr>
          <w:sz w:val="24"/>
          <w:szCs w:val="24"/>
        </w:rPr>
        <w:t xml:space="preserve">This screening report also considers whether the SPD complies with the Habitats Directive (Directive 92/43/ECC) and Birds Directive (Directive 79/409/EEC) (i.e. whether there are likely to be significant effects on the network of European sites). </w:t>
      </w:r>
    </w:p>
    <w:p>
      <w:pPr>
        <w:numPr>
          <w:ilvl w:val="1"/>
          <w:numId w:val="1"/>
        </w:numPr>
        <w:tabs>
          <w:tab w:val="left" w:pos="567"/>
        </w:tabs>
        <w:spacing w:before="0" w:after="180"/>
        <w:ind w:left="567" w:hanging="567"/>
        <w:jc w:val="both"/>
      </w:pPr>
      <w:r>
        <w:rPr>
          <w:sz w:val="24"/>
          <w:szCs w:val="24"/>
        </w:rPr>
        <w:t xml:space="preserve">The purpose of this report is to provide the consultation bodies and the local planning authority (LPA) with enough information to make these screening decisions. </w:t>
      </w:r>
    </w:p>
    <w:p>
      <w:pPr>
        <w:pStyle w:val="Heading2"/>
        <w:spacing w:before="360" w:after="120" w:line="240" w:lineRule="auto"/>
        <w:rPr>
          <w:b/>
          <w:bCs/>
          <w:sz w:val="36"/>
          <w:szCs w:val="36"/>
        </w:rPr>
      </w:pPr>
      <w:bookmarkStart w:id="40" w:name="_Toc140585479"/>
      <w:r>
        <w:rPr>
          <w:rFonts w:ascii="Arial" w:eastAsia="Arial" w:hAnsi="Arial" w:cs="Arial"/>
          <w:i w:val="0"/>
          <w:color w:val="008768"/>
        </w:rPr>
        <w:t>Background to the District-Wide Design Code SPD</w:t>
      </w:r>
      <w:bookmarkEnd w:id="40"/>
    </w:p>
    <w:p>
      <w:pPr>
        <w:spacing w:before="0" w:after="0"/>
        <w:rPr>
          <w:rFonts w:ascii="Arial" w:eastAsia="Arial" w:hAnsi="Arial" w:cs="Arial"/>
          <w:sz w:val="18"/>
          <w:szCs w:val="18"/>
        </w:rPr>
      </w:pPr>
    </w:p>
    <w:p>
      <w:pPr>
        <w:numPr>
          <w:ilvl w:val="1"/>
          <w:numId w:val="1"/>
        </w:numPr>
        <w:tabs>
          <w:tab w:val="left" w:pos="567"/>
        </w:tabs>
        <w:spacing w:before="0" w:after="180"/>
        <w:ind w:left="567" w:hanging="567"/>
      </w:pPr>
      <w:r>
        <w:rPr>
          <w:sz w:val="24"/>
          <w:szCs w:val="24"/>
        </w:rPr>
        <w:t xml:space="preserve">The Design Code is being proposed as a Supplementary Planning Document (SPD) and will apply to development across the entire district of Uttlesford. </w:t>
      </w:r>
    </w:p>
    <w:p>
      <w:pPr>
        <w:numPr>
          <w:ilvl w:val="1"/>
          <w:numId w:val="1"/>
        </w:numPr>
        <w:tabs>
          <w:tab w:val="left" w:pos="567"/>
        </w:tabs>
        <w:spacing w:before="0" w:after="180"/>
        <w:ind w:left="567" w:hanging="567"/>
      </w:pPr>
      <w:r>
        <w:rPr>
          <w:sz w:val="24"/>
          <w:szCs w:val="24"/>
        </w:rPr>
        <w:t>The SPD forms a material consideration in the determination of planning applications and it should be read in conjunction with the adopted development plan including national policy and guidance.</w:t>
      </w:r>
    </w:p>
    <w:p>
      <w:pPr>
        <w:numPr>
          <w:ilvl w:val="1"/>
          <w:numId w:val="1"/>
        </w:numPr>
        <w:tabs>
          <w:tab w:val="left" w:pos="567"/>
        </w:tabs>
        <w:spacing w:before="0" w:after="180"/>
        <w:ind w:left="567" w:hanging="567"/>
      </w:pPr>
      <w:r>
        <w:rPr>
          <w:sz w:val="24"/>
          <w:szCs w:val="24"/>
        </w:rPr>
        <w:t>The SPD contains a range of strategic principles relating to different aspects of design.</w:t>
      </w:r>
      <w:r>
        <w:rPr>
          <w:sz w:val="24"/>
          <w:szCs w:val="24"/>
        </w:rPr>
        <w:t xml:space="preserve">  </w:t>
      </w:r>
      <w:r>
        <w:rPr>
          <w:sz w:val="24"/>
          <w:szCs w:val="24"/>
        </w:rPr>
        <w:t>This leads on to specific ‘expectations’ for developments on a range of design issues which mirror the ‘ten characteristics of well-designed places’ as set out within the National Design Guide (see Figure 1-1 below).</w:t>
      </w: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spacing w:before="0" w:after="180"/>
        <w:ind w:left="567"/>
        <w:rPr>
          <w:rFonts w:ascii="Arial" w:eastAsia="Arial" w:hAnsi="Arial" w:cs="Arial"/>
          <w:sz w:val="24"/>
          <w:szCs w:val="24"/>
        </w:rPr>
      </w:pPr>
    </w:p>
    <w:p>
      <w:pPr>
        <w:keepNext/>
        <w:spacing w:before="0" w:after="120"/>
        <w:jc w:val="both"/>
      </w:pPr>
      <w:r>
        <w:rPr>
          <w:b/>
          <w:bCs/>
          <w:color w:val="008768"/>
          <w:sz w:val="24"/>
          <w:szCs w:val="24"/>
        </w:rPr>
        <w:t xml:space="preserve">Figure 1-1 </w:t>
      </w:r>
      <w:r>
        <w:rPr>
          <w:b/>
          <w:bCs/>
          <w:color w:val="008768"/>
          <w:sz w:val="24"/>
          <w:szCs w:val="24"/>
        </w:rPr>
        <w:t xml:space="preserve"> </w:t>
      </w:r>
      <w:r>
        <w:rPr>
          <w:b/>
          <w:bCs/>
          <w:color w:val="008768"/>
          <w:sz w:val="24"/>
          <w:szCs w:val="24"/>
        </w:rPr>
        <w:t>Ten Characteristics of a well-designed place</w:t>
      </w:r>
    </w:p>
    <w:p>
      <w:pPr>
        <w:spacing w:before="0" w:after="180"/>
        <w:ind w:left="567"/>
      </w:pPr>
      <w:r>
        <w:rPr>
          <w:strike w:val="0"/>
          <w:u w:val="none"/>
        </w:rPr>
        <w:drawing>
          <wp:inline>
            <wp:extent cx="4038600" cy="4362450"/>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12"/>
                    <a:stretch>
                      <a:fillRect/>
                    </a:stretch>
                  </pic:blipFill>
                  <pic:spPr>
                    <a:xfrm>
                      <a:off x="0" y="0"/>
                      <a:ext cx="4038600" cy="4362450"/>
                    </a:xfrm>
                    <a:prstGeom prst="rect">
                      <a:avLst/>
                    </a:prstGeom>
                  </pic:spPr>
                </pic:pic>
              </a:graphicData>
            </a:graphic>
          </wp:inline>
        </w:drawing>
      </w:r>
      <w:r>
        <w:rPr>
          <w:sz w:val="24"/>
          <w:szCs w:val="24"/>
        </w:rPr>
        <w:t xml:space="preserve"> </w:t>
      </w:r>
    </w:p>
    <w:p>
      <w:pPr>
        <w:spacing w:before="0" w:after="0" w:line="240" w:lineRule="auto"/>
      </w:pPr>
      <w:r>
        <w:br w:type="page"/>
      </w:r>
    </w:p>
    <w:p>
      <w:pPr>
        <w:numPr>
          <w:ilvl w:val="1"/>
          <w:numId w:val="1"/>
        </w:numPr>
        <w:tabs>
          <w:tab w:val="left" w:pos="567"/>
        </w:tabs>
        <w:spacing w:before="0" w:after="180"/>
        <w:ind w:left="567" w:hanging="567"/>
        <w:jc w:val="both"/>
      </w:pPr>
      <w:r>
        <w:rPr>
          <w:sz w:val="24"/>
          <w:szCs w:val="24"/>
        </w:rPr>
        <w:t>The National Planning Policy Guidance (Para 008) states that:</w:t>
      </w:r>
    </w:p>
    <w:p>
      <w:pPr>
        <w:spacing w:before="0" w:after="180"/>
        <w:ind w:left="567"/>
        <w:jc w:val="both"/>
      </w:pPr>
      <w:r>
        <w:rPr>
          <w:i/>
          <w:iCs/>
          <w:sz w:val="24"/>
          <w:szCs w:val="24"/>
        </w:rPr>
        <w:t>Supplementary planning documents do not require a sustainability appraisal but may in exceptional circumstances require a strategic environmental assessment if they are likely to have significant environmental effects that have not already have been assessed during the preparation of the relevant strategic policies.</w:t>
      </w:r>
    </w:p>
    <w:p>
      <w:pPr>
        <w:numPr>
          <w:ilvl w:val="1"/>
          <w:numId w:val="1"/>
        </w:numPr>
        <w:tabs>
          <w:tab w:val="left" w:pos="567"/>
        </w:tabs>
        <w:spacing w:before="0" w:after="180"/>
        <w:ind w:left="567" w:hanging="567"/>
        <w:jc w:val="both"/>
      </w:pPr>
      <w:r>
        <w:rPr>
          <w:sz w:val="24"/>
          <w:szCs w:val="24"/>
        </w:rPr>
        <w:t>The current Local Plan for Uttlesford is relatively out-dated, and therefore, the Design Code SPD has been prepared in the context of the National Planning Policy Framework (NPPF), the National Design Code and Guidance and the emerging Local Plan for Uttlesford.</w:t>
      </w:r>
      <w:r>
        <w:rPr>
          <w:sz w:val="24"/>
          <w:szCs w:val="24"/>
        </w:rPr>
        <w:t xml:space="preserve">  </w:t>
      </w:r>
    </w:p>
    <w:p>
      <w:pPr>
        <w:numPr>
          <w:ilvl w:val="1"/>
          <w:numId w:val="1"/>
        </w:numPr>
        <w:tabs>
          <w:tab w:val="left" w:pos="567"/>
        </w:tabs>
        <w:spacing w:before="0" w:after="180"/>
        <w:ind w:left="567" w:hanging="567"/>
        <w:jc w:val="both"/>
      </w:pPr>
      <w:r>
        <w:rPr>
          <w:sz w:val="24"/>
          <w:szCs w:val="24"/>
        </w:rPr>
        <w:t xml:space="preserve">The Design Code SPD will also need to be read and applied alongside made Neighbourhood Plans within Uttlesford, each of which sets out policies for specific areas within the district. </w:t>
      </w:r>
    </w:p>
    <w:p>
      <w:pPr>
        <w:pStyle w:val="Heading2"/>
        <w:spacing w:before="240" w:after="120" w:line="240" w:lineRule="auto"/>
        <w:rPr>
          <w:b/>
          <w:bCs/>
          <w:sz w:val="36"/>
          <w:szCs w:val="36"/>
        </w:rPr>
      </w:pPr>
      <w:bookmarkStart w:id="41" w:name="_Toc19239"/>
      <w:bookmarkStart w:id="42" w:name="_Toc140585480"/>
      <w:r>
        <w:rPr>
          <w:rFonts w:ascii="Arial" w:eastAsia="Arial" w:hAnsi="Arial" w:cs="Arial"/>
          <w:i w:val="0"/>
          <w:color w:val="008768"/>
        </w:rPr>
        <w:t>Legislative background</w:t>
      </w:r>
      <w:bookmarkEnd w:id="42"/>
      <w:r>
        <w:rPr>
          <w:rFonts w:ascii="Arial" w:eastAsia="Arial" w:hAnsi="Arial" w:cs="Arial"/>
          <w:i w:val="0"/>
          <w:color w:val="008768"/>
        </w:rPr>
        <w:t xml:space="preserve"> </w:t>
      </w:r>
      <w:bookmarkEnd w:id="41"/>
    </w:p>
    <w:p>
      <w:pPr>
        <w:numPr>
          <w:ilvl w:val="1"/>
          <w:numId w:val="1"/>
        </w:numPr>
        <w:tabs>
          <w:tab w:val="left" w:pos="567"/>
        </w:tabs>
        <w:spacing w:before="0" w:after="180"/>
        <w:ind w:left="567" w:hanging="567"/>
        <w:jc w:val="both"/>
      </w:pPr>
      <w:r>
        <w:rPr>
          <w:sz w:val="24"/>
          <w:szCs w:val="24"/>
        </w:rPr>
        <w:t>The Habitats Directive was transposed into English Law by the Conservation (Natural Habitats) Regulations 1994.</w:t>
      </w:r>
      <w:r>
        <w:rPr>
          <w:sz w:val="24"/>
          <w:szCs w:val="24"/>
        </w:rPr>
        <w:t xml:space="preserve">  </w:t>
      </w:r>
      <w:r>
        <w:rPr>
          <w:sz w:val="24"/>
          <w:szCs w:val="24"/>
        </w:rPr>
        <w:t>The Habitats Directive ensures the conservation of a wide range of rare, threatened or endemic animal and plant species and habitat types.</w:t>
      </w:r>
      <w:r>
        <w:rPr>
          <w:sz w:val="24"/>
          <w:szCs w:val="24"/>
        </w:rPr>
        <w:t xml:space="preserve">   </w:t>
      </w:r>
      <w:r>
        <w:rPr>
          <w:sz w:val="24"/>
          <w:szCs w:val="24"/>
        </w:rPr>
        <w:t>There is a requirement to determine whether there are likely to be significant effects on European sites as a result of Neighbourhood Plans.</w:t>
      </w:r>
      <w:r>
        <w:rPr>
          <w:sz w:val="24"/>
          <w:szCs w:val="24"/>
        </w:rPr>
        <w:t xml:space="preserve">  </w:t>
      </w:r>
      <w:r>
        <w:rPr>
          <w:sz w:val="24"/>
          <w:szCs w:val="24"/>
        </w:rPr>
        <w:t>A precautionary approach is necessary when determining likely significance.</w:t>
      </w:r>
      <w:r>
        <w:rPr>
          <w:sz w:val="24"/>
          <w:szCs w:val="24"/>
        </w:rPr>
        <w:t xml:space="preserve">   </w:t>
      </w:r>
    </w:p>
    <w:p>
      <w:pPr>
        <w:numPr>
          <w:ilvl w:val="1"/>
          <w:numId w:val="1"/>
        </w:numPr>
        <w:tabs>
          <w:tab w:val="left" w:pos="567"/>
        </w:tabs>
        <w:spacing w:before="0" w:after="180"/>
        <w:ind w:left="567" w:hanging="567"/>
        <w:jc w:val="both"/>
      </w:pPr>
      <w:r>
        <w:rPr>
          <w:sz w:val="24"/>
          <w:szCs w:val="24"/>
        </w:rPr>
        <w:t>The SEA Directive has been transposed into English law by the Environmental Assessment of Plans and Programmes Regulations 2004, or the ‘SEA Regulations’.</w:t>
      </w:r>
      <w:r>
        <w:rPr>
          <w:sz w:val="24"/>
          <w:szCs w:val="24"/>
        </w:rPr>
        <w:t xml:space="preserve">   </w:t>
      </w:r>
    </w:p>
    <w:p>
      <w:pPr>
        <w:numPr>
          <w:ilvl w:val="1"/>
          <w:numId w:val="1"/>
        </w:numPr>
        <w:tabs>
          <w:tab w:val="left" w:pos="567"/>
        </w:tabs>
        <w:spacing w:before="0" w:after="180"/>
        <w:ind w:left="567" w:hanging="567"/>
        <w:jc w:val="both"/>
      </w:pPr>
      <w:r>
        <w:rPr>
          <w:sz w:val="24"/>
          <w:szCs w:val="24"/>
        </w:rPr>
        <w:t>To decide whether a plan is likely to have significant effects on the environment, and hence requires SEA, it should be screened at an early stage, i.e. once the plan remit and objectives have been formulated, at the earliest stage possible.</w:t>
      </w:r>
      <w:r>
        <w:rPr>
          <w:sz w:val="24"/>
          <w:szCs w:val="24"/>
        </w:rPr>
        <w:t xml:space="preserve">  </w:t>
      </w:r>
    </w:p>
    <w:p>
      <w:pPr>
        <w:numPr>
          <w:ilvl w:val="1"/>
          <w:numId w:val="1"/>
        </w:numPr>
        <w:tabs>
          <w:tab w:val="left" w:pos="567"/>
        </w:tabs>
        <w:spacing w:before="0" w:after="180"/>
        <w:ind w:left="567" w:hanging="567"/>
        <w:jc w:val="both"/>
      </w:pPr>
      <w:r>
        <w:rPr>
          <w:sz w:val="24"/>
          <w:szCs w:val="24"/>
        </w:rPr>
        <w:t>Screening is ‘Stage A’ in the government’s recommended six stage approach to SEA outlined in the NPPG. If it is determined, through screening, that significant environmental effects are unlikely and hence SEA is not required, then further SEA is not required.</w:t>
      </w:r>
      <w:r>
        <w:rPr>
          <w:sz w:val="24"/>
          <w:szCs w:val="24"/>
        </w:rPr>
        <w:t xml:space="preserve">   </w:t>
      </w:r>
    </w:p>
    <w:p>
      <w:pPr>
        <w:numPr>
          <w:ilvl w:val="1"/>
          <w:numId w:val="1"/>
        </w:numPr>
        <w:tabs>
          <w:tab w:val="left" w:pos="567"/>
        </w:tabs>
        <w:spacing w:before="0" w:after="180"/>
        <w:ind w:left="567" w:hanging="567"/>
        <w:jc w:val="both"/>
      </w:pPr>
      <w:r>
        <w:rPr>
          <w:sz w:val="24"/>
          <w:szCs w:val="24"/>
        </w:rPr>
        <w:t xml:space="preserve">Regulations 9 and 11 of the SEA Regulations set out the procedure for screening the plan. The steps are summarized below: </w:t>
      </w:r>
    </w:p>
    <w:p>
      <w:pPr>
        <w:numPr>
          <w:ilvl w:val="0"/>
          <w:numId w:val="2"/>
        </w:numPr>
        <w:pBdr>
          <w:left w:val="none" w:sz="0" w:space="2" w:color="auto"/>
        </w:pBdr>
        <w:spacing w:before="0" w:after="27" w:line="250" w:lineRule="auto"/>
        <w:ind w:left="927" w:right="0" w:hanging="360"/>
        <w:jc w:val="both"/>
        <w:rPr>
          <w:sz w:val="24"/>
          <w:szCs w:val="24"/>
        </w:rPr>
      </w:pPr>
      <w:r>
        <w:rPr>
          <w:sz w:val="24"/>
          <w:szCs w:val="24"/>
        </w:rPr>
        <w:t xml:space="preserve">Assess the likely effects of the plan </w:t>
      </w:r>
    </w:p>
    <w:p>
      <w:pPr>
        <w:numPr>
          <w:ilvl w:val="0"/>
          <w:numId w:val="2"/>
        </w:numPr>
        <w:pBdr>
          <w:left w:val="none" w:sz="0" w:space="2" w:color="auto"/>
        </w:pBdr>
        <w:spacing w:after="29" w:line="250" w:lineRule="auto"/>
        <w:ind w:left="927" w:right="0" w:hanging="360"/>
        <w:jc w:val="both"/>
        <w:rPr>
          <w:sz w:val="24"/>
          <w:szCs w:val="24"/>
        </w:rPr>
      </w:pPr>
      <w:r>
        <w:rPr>
          <w:sz w:val="24"/>
          <w:szCs w:val="24"/>
        </w:rPr>
        <w:t xml:space="preserve">Conclude whether the plan requires SEA </w:t>
      </w:r>
    </w:p>
    <w:p>
      <w:pPr>
        <w:numPr>
          <w:ilvl w:val="0"/>
          <w:numId w:val="2"/>
        </w:numPr>
        <w:pBdr>
          <w:left w:val="none" w:sz="0" w:space="2" w:color="auto"/>
        </w:pBdr>
        <w:spacing w:after="26" w:line="250" w:lineRule="auto"/>
        <w:ind w:left="927" w:right="0" w:hanging="360"/>
        <w:jc w:val="both"/>
        <w:rPr>
          <w:sz w:val="24"/>
          <w:szCs w:val="24"/>
        </w:rPr>
      </w:pPr>
      <w:r>
        <w:rPr>
          <w:sz w:val="24"/>
          <w:szCs w:val="24"/>
        </w:rPr>
        <w:t xml:space="preserve">Consult the consultation bodies </w:t>
      </w:r>
    </w:p>
    <w:p>
      <w:pPr>
        <w:numPr>
          <w:ilvl w:val="0"/>
          <w:numId w:val="2"/>
        </w:numPr>
        <w:pBdr>
          <w:left w:val="none" w:sz="0" w:space="2" w:color="auto"/>
        </w:pBdr>
        <w:spacing w:after="28" w:line="250" w:lineRule="auto"/>
        <w:ind w:left="927" w:right="0" w:hanging="360"/>
        <w:jc w:val="both"/>
        <w:rPr>
          <w:sz w:val="24"/>
          <w:szCs w:val="24"/>
        </w:rPr>
      </w:pPr>
      <w:r>
        <w:rPr>
          <w:sz w:val="24"/>
          <w:szCs w:val="24"/>
        </w:rPr>
        <w:t xml:space="preserve">Final determination </w:t>
      </w:r>
    </w:p>
    <w:p>
      <w:pPr>
        <w:numPr>
          <w:ilvl w:val="0"/>
          <w:numId w:val="2"/>
        </w:numPr>
        <w:pBdr>
          <w:left w:val="none" w:sz="0" w:space="2" w:color="auto"/>
        </w:pBdr>
        <w:spacing w:after="403" w:line="250" w:lineRule="auto"/>
        <w:ind w:left="927" w:right="0" w:hanging="360"/>
        <w:jc w:val="both"/>
        <w:rPr>
          <w:sz w:val="24"/>
          <w:szCs w:val="24"/>
        </w:rPr>
      </w:pPr>
      <w:r>
        <w:rPr>
          <w:sz w:val="24"/>
          <w:szCs w:val="24"/>
        </w:rPr>
        <w:t xml:space="preserve">Publicise determination within 28 days. </w:t>
      </w:r>
      <w:bookmarkStart w:id="43" w:name="_Toc19240"/>
    </w:p>
    <w:p>
      <w:pPr>
        <w:spacing w:before="0" w:after="180"/>
        <w:rPr>
          <w:rFonts w:ascii="Arial" w:eastAsia="Arial" w:hAnsi="Arial" w:cs="Arial"/>
          <w:sz w:val="18"/>
          <w:szCs w:val="18"/>
        </w:rPr>
      </w:pPr>
    </w:p>
    <w:p>
      <w:pPr>
        <w:spacing w:before="0" w:after="180"/>
        <w:rPr>
          <w:rFonts w:ascii="Arial" w:eastAsia="Arial" w:hAnsi="Arial" w:cs="Arial"/>
          <w:sz w:val="18"/>
          <w:szCs w:val="18"/>
        </w:rPr>
      </w:pPr>
    </w:p>
    <w:p>
      <w:pPr>
        <w:spacing w:before="0" w:after="0" w:line="240" w:lineRule="auto"/>
      </w:pPr>
      <w:r>
        <w:br w:type="page"/>
      </w:r>
    </w:p>
    <w:p>
      <w:pPr>
        <w:pStyle w:val="Heading2"/>
        <w:spacing w:before="240" w:after="120" w:line="240" w:lineRule="auto"/>
        <w:rPr>
          <w:b/>
          <w:bCs/>
          <w:sz w:val="36"/>
          <w:szCs w:val="36"/>
        </w:rPr>
      </w:pPr>
      <w:bookmarkStart w:id="44" w:name="_Toc140585481"/>
      <w:r>
        <w:rPr>
          <w:rFonts w:ascii="Arial" w:eastAsia="Arial" w:hAnsi="Arial" w:cs="Arial"/>
          <w:i w:val="0"/>
          <w:color w:val="008768"/>
        </w:rPr>
        <w:t>Screening process</w:t>
      </w:r>
      <w:bookmarkEnd w:id="44"/>
      <w:r>
        <w:rPr>
          <w:rFonts w:ascii="Arial" w:eastAsia="Arial" w:hAnsi="Arial" w:cs="Arial"/>
          <w:i w:val="0"/>
          <w:color w:val="008768"/>
        </w:rPr>
        <w:t xml:space="preserve"> </w:t>
      </w:r>
      <w:bookmarkEnd w:id="43"/>
    </w:p>
    <w:p>
      <w:pPr>
        <w:numPr>
          <w:ilvl w:val="1"/>
          <w:numId w:val="3"/>
        </w:numPr>
        <w:tabs>
          <w:tab w:val="left" w:pos="567"/>
        </w:tabs>
        <w:spacing w:before="0" w:after="180"/>
        <w:ind w:left="567" w:hanging="567"/>
        <w:jc w:val="both"/>
      </w:pPr>
      <w:r>
        <w:rPr>
          <w:sz w:val="24"/>
          <w:szCs w:val="24"/>
        </w:rPr>
        <w:t xml:space="preserve">The SEA screening process is illustrated in Figure 1-2. </w:t>
      </w:r>
    </w:p>
    <w:p>
      <w:pPr>
        <w:numPr>
          <w:ilvl w:val="1"/>
          <w:numId w:val="3"/>
        </w:numPr>
        <w:tabs>
          <w:tab w:val="left" w:pos="567"/>
        </w:tabs>
        <w:spacing w:before="0" w:after="180"/>
        <w:ind w:left="567" w:hanging="567"/>
        <w:jc w:val="both"/>
      </w:pPr>
      <w:r>
        <w:rPr>
          <w:sz w:val="24"/>
          <w:szCs w:val="24"/>
        </w:rPr>
        <w:t xml:space="preserve">As part of the SEA screening process, it is possible to consider implications for HRA purposes in an integrated manner (i.e. by considering HRA implications as part of related topics in the SEA; primarily ‘biodiversity’). </w:t>
      </w:r>
    </w:p>
    <w:p>
      <w:pPr>
        <w:numPr>
          <w:ilvl w:val="1"/>
          <w:numId w:val="3"/>
        </w:numPr>
        <w:tabs>
          <w:tab w:val="left" w:pos="567"/>
        </w:tabs>
        <w:spacing w:before="0" w:after="180"/>
        <w:ind w:left="567" w:hanging="567"/>
        <w:jc w:val="both"/>
      </w:pPr>
      <w:r>
        <w:rPr>
          <w:sz w:val="24"/>
          <w:szCs w:val="24"/>
        </w:rPr>
        <w:t>The Local Planning Authority, in this case, has commissioned AECOM to undertake the screening opinion on its behalf.</w:t>
      </w:r>
      <w:r>
        <w:rPr>
          <w:sz w:val="24"/>
          <w:szCs w:val="24"/>
        </w:rPr>
        <w:t xml:space="preserve">  </w:t>
      </w:r>
    </w:p>
    <w:p>
      <w:pPr>
        <w:keepNext/>
        <w:spacing w:before="0" w:after="180"/>
        <w:ind w:left="567"/>
        <w:jc w:val="both"/>
        <w:rPr>
          <w:rFonts w:ascii="Arial" w:eastAsia="Arial" w:hAnsi="Arial" w:cs="Arial"/>
          <w:sz w:val="24"/>
          <w:szCs w:val="24"/>
        </w:rPr>
      </w:pPr>
    </w:p>
    <w:p>
      <w:pPr>
        <w:spacing w:before="0" w:after="0" w:line="240" w:lineRule="auto"/>
        <w:rPr>
          <w:rFonts w:ascii="Arial" w:eastAsia="Arial" w:hAnsi="Arial" w:cs="Arial"/>
          <w:b/>
          <w:bCs/>
          <w:color w:val="008768"/>
          <w:sz w:val="24"/>
          <w:szCs w:val="24"/>
        </w:rPr>
      </w:pPr>
    </w:p>
    <w:p>
      <w:pPr>
        <w:keepNext/>
        <w:spacing w:before="0" w:after="120"/>
        <w:jc w:val="both"/>
      </w:pPr>
      <w:r>
        <w:rPr>
          <w:strike w:val="0"/>
          <w:u w:val="none"/>
        </w:rPr>
        <w:drawing>
          <wp:anchor simplePos="0" relativeHeight="251659264" behindDoc="0" locked="0" layoutInCell="1" allowOverlap="0">
            <wp:simplePos x="0" y="0"/>
            <wp:positionH relativeFrom="margin">
              <wp:align>right</wp:align>
            </wp:positionH>
            <wp:positionV relativeFrom="paragraph">
              <wp:posOffset>278130</wp:posOffset>
            </wp:positionV>
            <wp:extent cx="5734050" cy="4695825"/>
            <wp:wrapSquare wrapText="bothSides"/>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13"/>
                    <a:stretch>
                      <a:fillRect/>
                    </a:stretch>
                  </pic:blipFill>
                  <pic:spPr>
                    <a:xfrm>
                      <a:off x="0" y="0"/>
                      <a:ext cx="5734050" cy="4695825"/>
                    </a:xfrm>
                    <a:prstGeom prst="rect">
                      <a:avLst/>
                    </a:prstGeom>
                  </pic:spPr>
                </pic:pic>
              </a:graphicData>
            </a:graphic>
          </wp:anchor>
        </w:drawing>
      </w:r>
      <w:r>
        <w:rPr>
          <w:b/>
          <w:bCs/>
          <w:color w:val="008768"/>
          <w:sz w:val="24"/>
          <w:szCs w:val="24"/>
        </w:rPr>
        <w:t>Figure 1</w:t>
      </w:r>
      <w:r>
        <w:rPr>
          <w:b/>
          <w:bCs/>
          <w:color w:val="008768"/>
          <w:sz w:val="24"/>
          <w:szCs w:val="24"/>
        </w:rPr>
        <w:noBreakHyphen/>
      </w:r>
      <w:r>
        <w:rPr>
          <w:b/>
          <w:bCs/>
          <w:color w:val="008768"/>
          <w:sz w:val="24"/>
          <w:szCs w:val="24"/>
        </w:rPr>
        <w:t>2 SEA screening process</w:t>
      </w:r>
    </w:p>
    <w:p>
      <w:pPr>
        <w:spacing w:before="0" w:after="0" w:line="240" w:lineRule="auto"/>
      </w:pPr>
      <w:r>
        <w:br w:type="page"/>
      </w:r>
    </w:p>
    <w:p>
      <w:pPr>
        <w:pStyle w:val="Heading1"/>
        <w:numPr>
          <w:ilvl w:val="0"/>
          <w:numId w:val="4"/>
        </w:numPr>
        <w:tabs>
          <w:tab w:val="left" w:pos="567"/>
        </w:tabs>
        <w:spacing w:before="480" w:after="240" w:line="240" w:lineRule="auto"/>
        <w:ind w:left="567" w:hanging="567"/>
        <w:rPr>
          <w:b/>
          <w:bCs/>
          <w:sz w:val="48"/>
          <w:szCs w:val="48"/>
        </w:rPr>
      </w:pPr>
      <w:bookmarkStart w:id="45" w:name="_Toc140585482"/>
      <w:r>
        <w:rPr>
          <w:rFonts w:ascii="Arial" w:eastAsia="Arial" w:hAnsi="Arial" w:cs="Arial"/>
          <w:i w:val="0"/>
          <w:color w:val="00353E"/>
        </w:rPr>
        <w:t>Assessment</w:t>
      </w:r>
      <w:bookmarkEnd w:id="45"/>
    </w:p>
    <w:p>
      <w:pPr>
        <w:numPr>
          <w:ilvl w:val="1"/>
          <w:numId w:val="4"/>
        </w:numPr>
        <w:tabs>
          <w:tab w:val="left" w:pos="567"/>
        </w:tabs>
        <w:spacing w:before="0" w:after="180"/>
        <w:ind w:left="567" w:hanging="567"/>
        <w:jc w:val="both"/>
      </w:pPr>
      <w:r>
        <w:rPr>
          <w:sz w:val="24"/>
          <w:szCs w:val="24"/>
        </w:rPr>
        <w:t xml:space="preserve">The content / intent of the SPD is introduced in Section 1, with further detail provided in </w:t>
      </w:r>
      <w:r>
        <w:rPr>
          <w:b/>
          <w:bCs/>
          <w:sz w:val="24"/>
          <w:szCs w:val="24"/>
        </w:rPr>
        <w:t>Table 2-1</w:t>
      </w:r>
      <w:r>
        <w:rPr>
          <w:sz w:val="24"/>
          <w:szCs w:val="24"/>
        </w:rPr>
        <w:t xml:space="preserve"> below in relation to the SEA Regulations. </w:t>
      </w:r>
    </w:p>
    <w:p>
      <w:pPr>
        <w:keepNext/>
        <w:spacing w:before="0" w:after="120"/>
      </w:pPr>
      <w:r>
        <w:rPr>
          <w:b/>
          <w:bCs/>
          <w:color w:val="008768"/>
          <w:sz w:val="24"/>
          <w:szCs w:val="24"/>
        </w:rPr>
        <w:t>Table 2-1 Screening criteria and content of the plan</w:t>
      </w:r>
    </w:p>
    <w:tbl>
      <w:tblPr>
        <w:tblBorders>
          <w:insideH w:val="single" w:sz="4" w:space="0" w:color="000000"/>
        </w:tblBorders>
        <w:tblCellMar>
          <w:top w:w="0" w:type="dxa"/>
          <w:left w:w="0" w:type="dxa"/>
          <w:bottom w:w="0" w:type="dxa"/>
          <w:right w:w="0" w:type="dxa"/>
        </w:tblCellMar>
      </w:tblPr>
      <w:tblGrid>
        <w:gridCol w:w="349"/>
        <w:gridCol w:w="4134"/>
        <w:gridCol w:w="4543"/>
      </w:tblGrid>
      <w:tr>
        <w:tblPrEx>
          <w:tblBorders>
            <w:insideH w:val="single" w:sz="4" w:space="0" w:color="000000"/>
          </w:tblBorders>
          <w:tblCellMar>
            <w:top w:w="0" w:type="dxa"/>
            <w:left w:w="0" w:type="dxa"/>
            <w:bottom w:w="0" w:type="dxa"/>
            <w:right w:w="0" w:type="dxa"/>
          </w:tblCellMar>
        </w:tblPrEx>
        <w:trPr>
          <w:tblHeader/>
        </w:trPr>
        <w:tc>
          <w:tcPr>
            <w:tcW w:w="246" w:type="dxa"/>
            <w:tcBorders>
              <w:bottom w:val="single" w:sz="12" w:space="0" w:color="008768"/>
            </w:tcBorders>
            <w:noWrap w:val="0"/>
            <w:tcMar>
              <w:top w:w="33" w:type="dxa"/>
              <w:left w:w="0" w:type="dxa"/>
              <w:bottom w:w="28" w:type="dxa"/>
              <w:right w:w="118" w:type="dxa"/>
            </w:tcMar>
            <w:vAlign w:val="top"/>
          </w:tcPr>
          <w:p>
            <w:pPr>
              <w:spacing w:before="0" w:after="180"/>
              <w:rPr>
                <w:rFonts w:ascii="Arial" w:eastAsia="Arial" w:hAnsi="Arial" w:cs="Arial"/>
                <w:b/>
                <w:bCs/>
                <w:i w:val="0"/>
                <w:iCs w:val="0"/>
                <w:smallCaps w:val="0"/>
                <w:color w:val="008768"/>
                <w:sz w:val="22"/>
                <w:szCs w:val="22"/>
              </w:rPr>
            </w:pPr>
          </w:p>
        </w:tc>
        <w:tc>
          <w:tcPr>
            <w:tcW w:w="4169" w:type="dxa"/>
            <w:tcBorders>
              <w:bottom w:val="single" w:sz="12" w:space="0" w:color="008768"/>
            </w:tcBorders>
            <w:noWrap w:val="0"/>
            <w:tcMar>
              <w:top w:w="33" w:type="dxa"/>
              <w:left w:w="0" w:type="dxa"/>
              <w:bottom w:w="28" w:type="dxa"/>
              <w:right w:w="118" w:type="dxa"/>
            </w:tcMar>
            <w:vAlign w:val="top"/>
            <w:hideMark/>
          </w:tcPr>
          <w:p>
            <w:pPr>
              <w:spacing w:before="0" w:after="180"/>
              <w:rPr>
                <w:b w:val="0"/>
                <w:bCs w:val="0"/>
                <w:i w:val="0"/>
                <w:iCs w:val="0"/>
                <w:smallCaps w:val="0"/>
                <w:color w:val="000000"/>
                <w:sz w:val="24"/>
                <w:szCs w:val="24"/>
              </w:rPr>
            </w:pPr>
            <w:r>
              <w:rPr>
                <w:b/>
                <w:bCs/>
                <w:i w:val="0"/>
                <w:iCs w:val="0"/>
                <w:smallCaps w:val="0"/>
                <w:color w:val="008768"/>
                <w:sz w:val="22"/>
                <w:szCs w:val="22"/>
              </w:rPr>
              <w:t>Stage</w:t>
            </w:r>
          </w:p>
        </w:tc>
        <w:tc>
          <w:tcPr>
            <w:tcW w:w="4593" w:type="dxa"/>
            <w:tcBorders>
              <w:bottom w:val="single" w:sz="12" w:space="0" w:color="008768"/>
            </w:tcBorders>
            <w:noWrap w:val="0"/>
            <w:tcMar>
              <w:top w:w="33" w:type="dxa"/>
              <w:left w:w="0" w:type="dxa"/>
              <w:bottom w:w="28" w:type="dxa"/>
              <w:right w:w="118" w:type="dxa"/>
            </w:tcMar>
            <w:vAlign w:val="top"/>
            <w:hideMark/>
          </w:tcPr>
          <w:p>
            <w:pPr>
              <w:spacing w:before="0" w:after="180"/>
              <w:rPr>
                <w:b w:val="0"/>
                <w:bCs w:val="0"/>
                <w:i w:val="0"/>
                <w:iCs w:val="0"/>
                <w:smallCaps w:val="0"/>
                <w:color w:val="000000"/>
                <w:sz w:val="24"/>
                <w:szCs w:val="24"/>
              </w:rPr>
            </w:pPr>
            <w:r>
              <w:rPr>
                <w:b/>
                <w:bCs/>
                <w:i w:val="0"/>
                <w:iCs w:val="0"/>
                <w:smallCaps w:val="0"/>
                <w:color w:val="008768"/>
                <w:sz w:val="22"/>
                <w:szCs w:val="22"/>
              </w:rPr>
              <w:t>Comments</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jc w:val="center"/>
              <w:rPr>
                <w:b w:val="0"/>
                <w:bCs w:val="0"/>
                <w:i w:val="0"/>
                <w:iCs w:val="0"/>
                <w:smallCaps w:val="0"/>
                <w:color w:val="000000"/>
                <w:sz w:val="24"/>
                <w:szCs w:val="24"/>
              </w:rPr>
            </w:pPr>
            <w:r>
              <w:rPr>
                <w:b w:val="0"/>
                <w:bCs w:val="0"/>
                <w:i w:val="0"/>
                <w:iCs w:val="0"/>
                <w:smallCaps w:val="0"/>
                <w:color w:val="000000"/>
                <w:sz w:val="22"/>
                <w:szCs w:val="22"/>
              </w:rPr>
              <w:t>1</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Is the Plan subject to preparation and/or adoption by a national, regional or local authority OR prepared by an authority for adoption through a legislative procedure by Parliament or Government? (Art. 2(a))</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Yes.</w:t>
            </w:r>
            <w:r>
              <w:rPr>
                <w:b w:val="0"/>
                <w:bCs w:val="0"/>
                <w:i w:val="0"/>
                <w:iCs w:val="0"/>
                <w:smallCaps w:val="0"/>
                <w:color w:val="000000"/>
                <w:sz w:val="22"/>
                <w:szCs w:val="22"/>
              </w:rPr>
              <w:t xml:space="preserve">  </w:t>
            </w:r>
            <w:r>
              <w:rPr>
                <w:b w:val="0"/>
                <w:bCs w:val="0"/>
                <w:i w:val="0"/>
                <w:iCs w:val="0"/>
                <w:smallCaps w:val="0"/>
                <w:color w:val="000000"/>
                <w:sz w:val="22"/>
                <w:szCs w:val="22"/>
              </w:rPr>
              <w:t>A supplementary planning document is prepared by a local authority and must adhere to the processes and requirements set out within relevant planning regulations.</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2</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Is the Plan required by legislative, regulatory or administrative provisions? (Art. 2(a))</w:t>
            </w:r>
            <w:r>
              <w:rPr>
                <w:b w:val="0"/>
                <w:bCs w:val="0"/>
                <w:i w:val="0"/>
                <w:iCs w:val="0"/>
                <w:smallCaps w:val="0"/>
                <w:color w:val="000000"/>
                <w:sz w:val="16"/>
                <w:szCs w:val="16"/>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There is no legislative requirement to prepare SPDs.</w:t>
            </w:r>
            <w:r>
              <w:rPr>
                <w:b w:val="0"/>
                <w:bCs w:val="0"/>
                <w:i w:val="0"/>
                <w:iCs w:val="0"/>
                <w:smallCaps w:val="0"/>
                <w:color w:val="000000"/>
                <w:sz w:val="22"/>
                <w:szCs w:val="22"/>
              </w:rPr>
              <w:t xml:space="preserve">  </w:t>
            </w:r>
            <w:r>
              <w:rPr>
                <w:b w:val="0"/>
                <w:bCs w:val="0"/>
                <w:i w:val="0"/>
                <w:iCs w:val="0"/>
                <w:smallCaps w:val="0"/>
                <w:color w:val="000000"/>
                <w:sz w:val="22"/>
                <w:szCs w:val="22"/>
              </w:rPr>
              <w:t xml:space="preserve">However, the NPPF and proposals within the Levelling Up and Regeneration Bill suggest that Local Authorities should prepare design codes to guide development within their administrations. </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3</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Is the Plan prepared for agriculture, forestry, fisheries, energy, industry, transport, waste management, water management, telecommunications, tourism, town and country planning or land use, AND does it set a framework for future development consent of projects in Annexes I and II to the EIA Directive? (Art 3.2(a))</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 xml:space="preserve">The SPD is prepared to support town and country planning. Though the plan does not involve making changes to the use of land, it does set out a range of expectations that will need to be taken into consideration (as a material consideration) in the consent of developments (including those that may sit within Annexes I and II of the Directive. </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4</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Will the Plan, in view of its likely effect on sites, require an assessment for future development under Article 6 or 7 of the Habitats Directive?</w:t>
            </w:r>
            <w:r>
              <w:rPr>
                <w:b w:val="0"/>
                <w:bCs w:val="0"/>
                <w:i w:val="0"/>
                <w:iCs w:val="0"/>
                <w:smallCaps w:val="0"/>
                <w:color w:val="000000"/>
                <w:sz w:val="22"/>
                <w:szCs w:val="22"/>
              </w:rPr>
              <w:t xml:space="preserve">  </w:t>
            </w:r>
            <w:r>
              <w:rPr>
                <w:b w:val="0"/>
                <w:bCs w:val="0"/>
                <w:i w:val="0"/>
                <w:iCs w:val="0"/>
                <w:smallCaps w:val="0"/>
                <w:color w:val="000000"/>
                <w:sz w:val="22"/>
                <w:szCs w:val="22"/>
              </w:rPr>
              <w:t>(Art. 3.2 (b))</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The scope of the SPD does not involve planning for quantities or types of development that would typically give rise to likely significant effects on European sites.</w:t>
            </w:r>
            <w:r>
              <w:rPr>
                <w:b w:val="0"/>
                <w:bCs w:val="0"/>
                <w:i w:val="0"/>
                <w:iCs w:val="0"/>
                <w:smallCaps w:val="0"/>
                <w:color w:val="000000"/>
                <w:sz w:val="22"/>
                <w:szCs w:val="22"/>
              </w:rPr>
              <w:t xml:space="preserve">  </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5</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Does the Plan determine the use of small areas at the local level, OR is it a minor modification of another Plan or Programme (PP) subject to Art. 3.2? (Art. 3.3)</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The SPD does not directly determine the use of land, rather it seeks to influence how developments are designed.</w:t>
            </w:r>
            <w:r>
              <w:rPr>
                <w:b w:val="0"/>
                <w:bCs w:val="0"/>
                <w:i w:val="0"/>
                <w:iCs w:val="0"/>
                <w:smallCaps w:val="0"/>
                <w:color w:val="000000"/>
                <w:sz w:val="22"/>
                <w:szCs w:val="22"/>
              </w:rPr>
              <w:t xml:space="preserve">  </w:t>
            </w:r>
            <w:r>
              <w:rPr>
                <w:b w:val="0"/>
                <w:bCs w:val="0"/>
                <w:i w:val="0"/>
                <w:iCs w:val="0"/>
                <w:smallCaps w:val="0"/>
                <w:color w:val="000000"/>
                <w:sz w:val="22"/>
                <w:szCs w:val="22"/>
              </w:rPr>
              <w:t>However, some proposals within the SPD could influence decisions in relation to whether development is appropriate in certain locations. There are also ‘expectations’ of development that will determine land uses – for example, the proportion of green space in new developments.</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6</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Does the Plan set the framework for future development consent of projects (not just projects in annexes to the EIA Directive)? (Art 3.4)</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Yes.</w:t>
            </w:r>
            <w:r>
              <w:rPr>
                <w:b w:val="0"/>
                <w:bCs w:val="0"/>
                <w:i w:val="0"/>
                <w:iCs w:val="0"/>
                <w:smallCaps w:val="0"/>
                <w:color w:val="000000"/>
                <w:sz w:val="22"/>
                <w:szCs w:val="22"/>
              </w:rPr>
              <w:t xml:space="preserve">  </w:t>
            </w:r>
            <w:r>
              <w:rPr>
                <w:b w:val="0"/>
                <w:bCs w:val="0"/>
                <w:i w:val="0"/>
                <w:iCs w:val="0"/>
                <w:smallCaps w:val="0"/>
                <w:color w:val="000000"/>
                <w:sz w:val="22"/>
                <w:szCs w:val="22"/>
              </w:rPr>
              <w:t>The SPD introduces expectations for all development across Uttlesford and will be a material consideration in the planning-consent process.</w:t>
            </w:r>
            <w:r>
              <w:rPr>
                <w:b w:val="0"/>
                <w:bCs w:val="0"/>
                <w:i w:val="0"/>
                <w:iCs w:val="0"/>
                <w:smallCaps w:val="0"/>
                <w:color w:val="000000"/>
                <w:sz w:val="22"/>
                <w:szCs w:val="22"/>
              </w:rPr>
              <w:t xml:space="preserve">  </w:t>
            </w:r>
            <w:r>
              <w:rPr>
                <w:b w:val="0"/>
                <w:bCs w:val="0"/>
                <w:i w:val="0"/>
                <w:iCs w:val="0"/>
                <w:smallCaps w:val="0"/>
                <w:color w:val="000000"/>
                <w:sz w:val="22"/>
                <w:szCs w:val="22"/>
              </w:rPr>
              <w:t>The current Local Plan is out of date, and the new Plan is yet to be published in draft form.</w:t>
            </w:r>
            <w:r>
              <w:rPr>
                <w:b w:val="0"/>
                <w:bCs w:val="0"/>
                <w:i w:val="0"/>
                <w:iCs w:val="0"/>
                <w:smallCaps w:val="0"/>
                <w:color w:val="000000"/>
                <w:sz w:val="22"/>
                <w:szCs w:val="22"/>
              </w:rPr>
              <w:t xml:space="preserve">  </w:t>
            </w:r>
          </w:p>
          <w:p>
            <w:pPr>
              <w:spacing w:before="40" w:after="40" w:line="240" w:lineRule="auto"/>
              <w:rPr>
                <w:rFonts w:ascii="Arial" w:eastAsia="Arial" w:hAnsi="Arial" w:cs="Arial"/>
                <w:b w:val="0"/>
                <w:bCs w:val="0"/>
                <w:i w:val="0"/>
                <w:iCs w:val="0"/>
                <w:smallCaps w:val="0"/>
                <w:color w:val="000000"/>
                <w:sz w:val="22"/>
                <w:szCs w:val="22"/>
              </w:rPr>
            </w:pPr>
          </w:p>
          <w:p>
            <w:pPr>
              <w:spacing w:before="40" w:after="40" w:line="240" w:lineRule="auto"/>
              <w:rPr>
                <w:rFonts w:ascii="Arial" w:eastAsia="Arial" w:hAnsi="Arial" w:cs="Arial"/>
                <w:b w:val="0"/>
                <w:bCs w:val="0"/>
                <w:i w:val="0"/>
                <w:iCs w:val="0"/>
                <w:smallCaps w:val="0"/>
                <w:color w:val="000000"/>
                <w:sz w:val="22"/>
                <w:szCs w:val="22"/>
              </w:rPr>
            </w:pPr>
          </w:p>
          <w:p>
            <w:pPr>
              <w:spacing w:before="40" w:after="40" w:line="240" w:lineRule="auto"/>
              <w:rPr>
                <w:rFonts w:ascii="Arial" w:eastAsia="Arial" w:hAnsi="Arial" w:cs="Arial"/>
                <w:b w:val="0"/>
                <w:bCs w:val="0"/>
                <w:i w:val="0"/>
                <w:iCs w:val="0"/>
                <w:smallCaps w:val="0"/>
                <w:color w:val="000000"/>
                <w:sz w:val="22"/>
                <w:szCs w:val="22"/>
              </w:rPr>
            </w:pP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7</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 xml:space="preserve">Is the Plan sole purpose to serve the national defence or civil emergency, OR is it a financial or budget PP, OR is it co-financed by structural funds or EAGGF programmes 2000 to 2006/7? </w:t>
            </w:r>
            <w:r>
              <w:rPr>
                <w:b w:val="0"/>
                <w:bCs w:val="0"/>
                <w:i w:val="0"/>
                <w:iCs w:val="0"/>
                <w:smallCaps w:val="0"/>
                <w:color w:val="000000"/>
                <w:sz w:val="22"/>
                <w:szCs w:val="22"/>
              </w:rPr>
              <w:t xml:space="preserve">               </w:t>
            </w:r>
            <w:r>
              <w:rPr>
                <w:b w:val="0"/>
                <w:bCs w:val="0"/>
                <w:i w:val="0"/>
                <w:iCs w:val="0"/>
                <w:smallCaps w:val="0"/>
                <w:color w:val="000000"/>
                <w:sz w:val="22"/>
                <w:szCs w:val="22"/>
              </w:rPr>
              <w:t>(Art 3.8, 3.9)</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No, the plan will not serve the national defence or civil emergency, nor is it a financial or budget PP, OR is it co-financed by structural funds or EAGGF programmes 2000 to 2006/7? (Art 3.8, 3.9)</w:t>
            </w:r>
          </w:p>
        </w:tc>
      </w:tr>
      <w:tr>
        <w:tblPrEx>
          <w:tblCellMar>
            <w:top w:w="0" w:type="dxa"/>
            <w:left w:w="0" w:type="dxa"/>
            <w:bottom w:w="0" w:type="dxa"/>
            <w:right w:w="0" w:type="dxa"/>
          </w:tblCellMar>
        </w:tblPrEx>
        <w:tc>
          <w:tcPr>
            <w:tcW w:w="246"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0" w:after="180"/>
              <w:rPr>
                <w:b w:val="0"/>
                <w:bCs w:val="0"/>
                <w:i w:val="0"/>
                <w:iCs w:val="0"/>
                <w:smallCaps w:val="0"/>
                <w:color w:val="000000"/>
                <w:sz w:val="24"/>
                <w:szCs w:val="24"/>
              </w:rPr>
            </w:pPr>
            <w:r>
              <w:rPr>
                <w:b w:val="0"/>
                <w:bCs w:val="0"/>
                <w:i w:val="0"/>
                <w:iCs w:val="0"/>
                <w:smallCaps w:val="0"/>
                <w:color w:val="000000"/>
                <w:sz w:val="22"/>
                <w:szCs w:val="22"/>
              </w:rPr>
              <w:t>8</w:t>
            </w:r>
          </w:p>
        </w:tc>
        <w:tc>
          <w:tcPr>
            <w:tcW w:w="4169"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Is it likely to have a significant effect on the environment? (Art. 3.5)</w:t>
            </w:r>
            <w:r>
              <w:rPr>
                <w:b w:val="0"/>
                <w:bCs w:val="0"/>
                <w:i w:val="0"/>
                <w:iCs w:val="0"/>
                <w:smallCaps w:val="0"/>
                <w:color w:val="000000"/>
                <w:sz w:val="22"/>
                <w:szCs w:val="22"/>
              </w:rPr>
              <w:t xml:space="preserve">  </w:t>
            </w:r>
          </w:p>
        </w:tc>
        <w:tc>
          <w:tcPr>
            <w:tcW w:w="4593" w:type="dxa"/>
            <w:tcBorders>
              <w:top w:val="single" w:sz="4" w:space="0" w:color="000000"/>
              <w:bottom w:val="single" w:sz="4" w:space="0" w:color="000000"/>
            </w:tcBorders>
            <w:noWrap w:val="0"/>
            <w:tcMar>
              <w:top w:w="28" w:type="dxa"/>
              <w:left w:w="0" w:type="dxa"/>
              <w:bottom w:w="28" w:type="dxa"/>
              <w:right w:w="118" w:type="dxa"/>
            </w:tcMar>
            <w:vAlign w:val="top"/>
            <w:hideMark/>
          </w:tcPr>
          <w:p>
            <w:pPr>
              <w:spacing w:before="40" w:after="40" w:line="240" w:lineRule="auto"/>
              <w:rPr>
                <w:b w:val="0"/>
                <w:bCs w:val="0"/>
                <w:i w:val="0"/>
                <w:iCs w:val="0"/>
                <w:smallCaps w:val="0"/>
                <w:color w:val="000000"/>
                <w:sz w:val="22"/>
                <w:szCs w:val="22"/>
              </w:rPr>
            </w:pPr>
            <w:r>
              <w:rPr>
                <w:b w:val="0"/>
                <w:bCs w:val="0"/>
                <w:i w:val="0"/>
                <w:iCs w:val="0"/>
                <w:smallCaps w:val="0"/>
                <w:color w:val="000000"/>
                <w:sz w:val="22"/>
                <w:szCs w:val="22"/>
              </w:rPr>
              <w:t>See assessment section below for further consideration.</w:t>
            </w:r>
          </w:p>
        </w:tc>
      </w:tr>
      <w:tr>
        <w:tblPrEx>
          <w:tblCellMar>
            <w:top w:w="0" w:type="dxa"/>
            <w:left w:w="0" w:type="dxa"/>
            <w:bottom w:w="0" w:type="dxa"/>
            <w:right w:w="0" w:type="dxa"/>
          </w:tblCellMar>
        </w:tblPrEx>
        <w:tc>
          <w:tcPr>
            <w:tcW w:w="246" w:type="dxa"/>
            <w:tcBorders>
              <w:top w:val="single" w:sz="4" w:space="0" w:color="000000"/>
            </w:tcBorders>
            <w:noWrap w:val="0"/>
            <w:tcMar>
              <w:top w:w="28" w:type="dxa"/>
              <w:left w:w="0" w:type="dxa"/>
              <w:bottom w:w="33" w:type="dxa"/>
              <w:right w:w="118" w:type="dxa"/>
            </w:tcMar>
            <w:vAlign w:val="top"/>
          </w:tcPr>
          <w:p>
            <w:pPr>
              <w:spacing w:before="0" w:after="180"/>
              <w:rPr>
                <w:rFonts w:ascii="Arial" w:eastAsia="Arial" w:hAnsi="Arial" w:cs="Arial"/>
                <w:b w:val="0"/>
                <w:bCs w:val="0"/>
                <w:i w:val="0"/>
                <w:iCs w:val="0"/>
                <w:smallCaps w:val="0"/>
                <w:color w:val="000000"/>
                <w:sz w:val="16"/>
                <w:szCs w:val="16"/>
              </w:rPr>
            </w:pPr>
          </w:p>
        </w:tc>
        <w:tc>
          <w:tcPr>
            <w:tcW w:w="4169" w:type="dxa"/>
            <w:tcBorders>
              <w:top w:val="single" w:sz="4" w:space="0" w:color="000000"/>
            </w:tcBorders>
            <w:noWrap w:val="0"/>
            <w:tcMar>
              <w:top w:w="28" w:type="dxa"/>
              <w:left w:w="0" w:type="dxa"/>
              <w:bottom w:w="33" w:type="dxa"/>
              <w:right w:w="118" w:type="dxa"/>
            </w:tcMar>
            <w:vAlign w:val="top"/>
          </w:tcPr>
          <w:p>
            <w:pPr>
              <w:spacing w:before="0" w:after="0"/>
              <w:rPr>
                <w:rFonts w:ascii="Arial" w:eastAsia="Arial" w:hAnsi="Arial" w:cs="Arial"/>
                <w:b w:val="0"/>
                <w:bCs w:val="0"/>
                <w:i w:val="0"/>
                <w:iCs w:val="0"/>
                <w:smallCaps w:val="0"/>
                <w:color w:val="000000"/>
                <w:sz w:val="16"/>
                <w:szCs w:val="16"/>
              </w:rPr>
            </w:pPr>
          </w:p>
        </w:tc>
        <w:tc>
          <w:tcPr>
            <w:tcW w:w="4593" w:type="dxa"/>
            <w:tcBorders>
              <w:top w:val="single" w:sz="4" w:space="0" w:color="000000"/>
            </w:tcBorders>
            <w:noWrap w:val="0"/>
            <w:tcMar>
              <w:top w:w="28" w:type="dxa"/>
              <w:left w:w="0" w:type="dxa"/>
              <w:bottom w:w="33" w:type="dxa"/>
              <w:right w:w="118" w:type="dxa"/>
            </w:tcMar>
            <w:vAlign w:val="top"/>
          </w:tcPr>
          <w:p>
            <w:pPr>
              <w:spacing w:before="0" w:after="180"/>
              <w:rPr>
                <w:rFonts w:ascii="Arial" w:eastAsia="Arial" w:hAnsi="Arial" w:cs="Arial"/>
                <w:b w:val="0"/>
                <w:bCs w:val="0"/>
                <w:i w:val="0"/>
                <w:iCs w:val="0"/>
                <w:smallCaps w:val="0"/>
                <w:color w:val="000000"/>
                <w:sz w:val="16"/>
                <w:szCs w:val="16"/>
              </w:rPr>
            </w:pPr>
          </w:p>
        </w:tc>
      </w:tr>
    </w:tbl>
    <w:p>
      <w:pPr>
        <w:pStyle w:val="Heading2"/>
        <w:spacing w:before="0" w:after="120" w:line="240" w:lineRule="auto"/>
        <w:rPr>
          <w:b/>
          <w:bCs/>
          <w:sz w:val="36"/>
          <w:szCs w:val="36"/>
        </w:rPr>
      </w:pPr>
      <w:bookmarkStart w:id="46" w:name="_Toc140585483"/>
      <w:r>
        <w:rPr>
          <w:rFonts w:ascii="Arial" w:eastAsia="Arial" w:hAnsi="Arial" w:cs="Arial"/>
          <w:i w:val="0"/>
          <w:color w:val="008768"/>
        </w:rPr>
        <w:t>Consideration of significant effects for each of the SEA issues</w:t>
      </w:r>
      <w:bookmarkEnd w:id="46"/>
    </w:p>
    <w:p>
      <w:pPr>
        <w:numPr>
          <w:ilvl w:val="1"/>
          <w:numId w:val="4"/>
        </w:numPr>
        <w:tabs>
          <w:tab w:val="left" w:pos="567"/>
        </w:tabs>
        <w:spacing w:before="0" w:after="180"/>
        <w:ind w:left="567" w:hanging="567"/>
        <w:jc w:val="both"/>
      </w:pPr>
      <w:r>
        <w:rPr>
          <w:sz w:val="24"/>
          <w:szCs w:val="24"/>
        </w:rPr>
        <w:t>Annex 1 of the SEA Directive identifies a number of potential aspects of the environment which may require consideration in relation to significant effects.</w:t>
      </w:r>
      <w:r>
        <w:rPr>
          <w:sz w:val="24"/>
          <w:szCs w:val="24"/>
        </w:rPr>
        <w:t xml:space="preserve">  </w:t>
      </w:r>
      <w:r>
        <w:rPr>
          <w:sz w:val="24"/>
          <w:szCs w:val="24"/>
        </w:rPr>
        <w:t xml:space="preserve">These issues may include (but are not limited to): </w:t>
      </w:r>
      <w:r>
        <w:rPr>
          <w:i/>
          <w:iCs/>
          <w:sz w:val="24"/>
          <w:szCs w:val="24"/>
        </w:rPr>
        <w:t>“biodiversity, population, human health, fauna, flora, soil, water, air, climatic factors, material assets, cultural heritage including architectural and archaeological heritage, landscape and the interrelationship between the above factors”.</w:t>
      </w:r>
      <w:r>
        <w:rPr>
          <w:sz w:val="24"/>
          <w:szCs w:val="24"/>
        </w:rPr>
        <w:t xml:space="preserve">  </w:t>
      </w:r>
      <w:r>
        <w:rPr>
          <w:sz w:val="24"/>
          <w:szCs w:val="24"/>
        </w:rPr>
        <w:t xml:space="preserve">The following discussion considers any relevant issues in relation to each of these aspects of the environment and how they might be affected as a result of the proposals of the SPD. </w:t>
      </w:r>
      <w:r>
        <w:rPr>
          <w:sz w:val="24"/>
          <w:szCs w:val="24"/>
        </w:rPr>
        <w:t xml:space="preserve"> </w:t>
      </w:r>
    </w:p>
    <w:p>
      <w:pPr>
        <w:numPr>
          <w:ilvl w:val="1"/>
          <w:numId w:val="4"/>
        </w:numPr>
        <w:tabs>
          <w:tab w:val="left" w:pos="567"/>
        </w:tabs>
        <w:spacing w:before="0" w:after="180"/>
        <w:ind w:left="567" w:hanging="567"/>
        <w:jc w:val="both"/>
      </w:pPr>
      <w:r>
        <w:rPr>
          <w:sz w:val="24"/>
          <w:szCs w:val="24"/>
        </w:rPr>
        <w:t>In considering the potential for significant effects, note is taken of:</w:t>
      </w:r>
    </w:p>
    <w:p>
      <w:pPr>
        <w:numPr>
          <w:ilvl w:val="0"/>
          <w:numId w:val="5"/>
        </w:numPr>
        <w:pBdr>
          <w:left w:val="none" w:sz="0" w:space="7" w:color="auto"/>
        </w:pBdr>
        <w:spacing w:before="0" w:after="180"/>
        <w:ind w:left="1287" w:right="0" w:hanging="436"/>
        <w:jc w:val="both"/>
        <w:rPr>
          <w:rFonts w:ascii="Times New Roman" w:eastAsia="Times New Roman" w:hAnsi="Times New Roman" w:cs="Times New Roman"/>
          <w:sz w:val="24"/>
          <w:szCs w:val="24"/>
        </w:rPr>
      </w:pPr>
      <w:r>
        <w:rPr>
          <w:sz w:val="24"/>
          <w:szCs w:val="24"/>
        </w:rPr>
        <w:t xml:space="preserve">the sensitivity of ‘receptors’; </w:t>
      </w:r>
    </w:p>
    <w:p>
      <w:pPr>
        <w:numPr>
          <w:ilvl w:val="0"/>
          <w:numId w:val="5"/>
        </w:numPr>
        <w:pBdr>
          <w:left w:val="none" w:sz="0" w:space="7" w:color="auto"/>
        </w:pBdr>
        <w:spacing w:after="180"/>
        <w:ind w:left="1287" w:right="0" w:hanging="436"/>
        <w:jc w:val="both"/>
        <w:rPr>
          <w:rFonts w:ascii="Times New Roman" w:eastAsia="Times New Roman" w:hAnsi="Times New Roman" w:cs="Times New Roman"/>
          <w:sz w:val="24"/>
          <w:szCs w:val="24"/>
        </w:rPr>
      </w:pPr>
      <w:r>
        <w:rPr>
          <w:sz w:val="24"/>
          <w:szCs w:val="24"/>
        </w:rPr>
        <w:t>the extent to which the SPD introduces enhanced policy requirements (compared to the current position); and</w:t>
      </w:r>
    </w:p>
    <w:p>
      <w:pPr>
        <w:numPr>
          <w:ilvl w:val="0"/>
          <w:numId w:val="5"/>
        </w:numPr>
        <w:pBdr>
          <w:left w:val="none" w:sz="0" w:space="7" w:color="auto"/>
        </w:pBdr>
        <w:spacing w:after="180"/>
        <w:ind w:left="1287" w:right="0" w:hanging="436"/>
        <w:jc w:val="both"/>
        <w:rPr>
          <w:rFonts w:ascii="Times New Roman" w:eastAsia="Times New Roman" w:hAnsi="Times New Roman" w:cs="Times New Roman"/>
          <w:sz w:val="24"/>
          <w:szCs w:val="24"/>
        </w:rPr>
      </w:pPr>
      <w:r>
        <w:rPr>
          <w:sz w:val="24"/>
          <w:szCs w:val="24"/>
        </w:rPr>
        <w:t>the potential for the SPD to affect the amount and distribution of development.</w:t>
      </w:r>
    </w:p>
    <w:p>
      <w:pPr>
        <w:pStyle w:val="Heading3"/>
        <w:spacing w:before="240" w:after="120" w:line="240" w:lineRule="auto"/>
        <w:rPr>
          <w:b/>
          <w:bCs/>
          <w:sz w:val="30"/>
          <w:szCs w:val="30"/>
        </w:rPr>
      </w:pPr>
      <w:bookmarkStart w:id="47" w:name="_Toc140585484"/>
      <w:r>
        <w:rPr>
          <w:rFonts w:ascii="Arial" w:eastAsia="Arial" w:hAnsi="Arial" w:cs="Arial"/>
          <w:i w:val="0"/>
          <w:color w:val="008768"/>
          <w:sz w:val="30"/>
          <w:szCs w:val="30"/>
        </w:rPr>
        <w:t>Biodiversity, flora and fauna</w:t>
      </w:r>
      <w:bookmarkEnd w:id="47"/>
    </w:p>
    <w:p>
      <w:pPr>
        <w:numPr>
          <w:ilvl w:val="1"/>
          <w:numId w:val="6"/>
        </w:numPr>
        <w:tabs>
          <w:tab w:val="left" w:pos="567"/>
        </w:tabs>
        <w:spacing w:before="240" w:after="240"/>
        <w:ind w:left="567" w:hanging="567"/>
        <w:jc w:val="both"/>
      </w:pPr>
      <w:r>
        <w:rPr>
          <w:sz w:val="24"/>
          <w:szCs w:val="24"/>
        </w:rPr>
        <w:t>There are no European Designated sites within Uttlesford.</w:t>
      </w:r>
      <w:r>
        <w:rPr>
          <w:sz w:val="24"/>
          <w:szCs w:val="24"/>
        </w:rPr>
        <w:t xml:space="preserve">  </w:t>
      </w:r>
      <w:r>
        <w:rPr>
          <w:sz w:val="24"/>
          <w:szCs w:val="24"/>
        </w:rPr>
        <w:t>Though design of development can affect biodiversity, it is usually additional growth in particular locations that has the potential for significant effects on European sites.</w:t>
      </w:r>
      <w:r>
        <w:rPr>
          <w:sz w:val="24"/>
          <w:szCs w:val="24"/>
        </w:rPr>
        <w:t xml:space="preserve">  </w:t>
      </w:r>
      <w:r>
        <w:rPr>
          <w:sz w:val="24"/>
          <w:szCs w:val="24"/>
        </w:rPr>
        <w:t>As such, design expectations are unlikely to have any significant effect and a Habitats Regulations Assessment is considered unnecessary.</w:t>
      </w:r>
    </w:p>
    <w:p>
      <w:pPr>
        <w:numPr>
          <w:ilvl w:val="1"/>
          <w:numId w:val="6"/>
        </w:numPr>
        <w:tabs>
          <w:tab w:val="left" w:pos="567"/>
        </w:tabs>
        <w:spacing w:before="240" w:after="240"/>
        <w:ind w:left="567" w:hanging="567"/>
        <w:jc w:val="both"/>
      </w:pPr>
      <w:r>
        <w:rPr>
          <w:sz w:val="24"/>
          <w:szCs w:val="24"/>
        </w:rPr>
        <w:t>With regards to other designated sites, there are a range of SSSIs, National Nature Reserves and an extensive network of locally important sites.</w:t>
      </w:r>
      <w:r>
        <w:rPr>
          <w:sz w:val="24"/>
          <w:szCs w:val="24"/>
        </w:rPr>
        <w:t xml:space="preserve">  </w:t>
      </w:r>
      <w:r>
        <w:rPr>
          <w:sz w:val="24"/>
          <w:szCs w:val="24"/>
        </w:rPr>
        <w:t>It is unlikely that there would be direct effects upon such assets, as no growth or land use policies are involved in the SPD.</w:t>
      </w:r>
      <w:r>
        <w:rPr>
          <w:sz w:val="24"/>
          <w:szCs w:val="24"/>
        </w:rPr>
        <w:t xml:space="preserve">   </w:t>
      </w:r>
    </w:p>
    <w:p>
      <w:pPr>
        <w:numPr>
          <w:ilvl w:val="1"/>
          <w:numId w:val="6"/>
        </w:numPr>
        <w:tabs>
          <w:tab w:val="left" w:pos="567"/>
        </w:tabs>
        <w:spacing w:before="240" w:after="240"/>
        <w:ind w:left="567" w:hanging="567"/>
        <w:jc w:val="both"/>
      </w:pPr>
      <w:r>
        <w:rPr>
          <w:sz w:val="24"/>
          <w:szCs w:val="24"/>
        </w:rPr>
        <w:t>The SPD expands upon national design code guidance and reflects policy requirements of the NPPF.</w:t>
      </w:r>
      <w:r>
        <w:rPr>
          <w:sz w:val="24"/>
          <w:szCs w:val="24"/>
        </w:rPr>
        <w:t xml:space="preserve">  </w:t>
      </w:r>
      <w:r>
        <w:rPr>
          <w:sz w:val="24"/>
          <w:szCs w:val="24"/>
        </w:rPr>
        <w:t xml:space="preserve">For the most part, the expectations in the SPD provide guidance and strong encouragement rather than setting requirements or standards and therefore significant effects are unlikely. </w:t>
      </w:r>
    </w:p>
    <w:p>
      <w:pPr>
        <w:numPr>
          <w:ilvl w:val="1"/>
          <w:numId w:val="6"/>
        </w:numPr>
        <w:tabs>
          <w:tab w:val="left" w:pos="567"/>
        </w:tabs>
        <w:spacing w:before="240" w:after="240"/>
        <w:ind w:left="567" w:hanging="567"/>
        <w:jc w:val="both"/>
      </w:pPr>
      <w:r>
        <w:rPr>
          <w:sz w:val="24"/>
          <w:szCs w:val="24"/>
        </w:rPr>
        <w:t>For larger developments, it is ‘expected’ that 20% net gain would be achieved.</w:t>
      </w:r>
      <w:r>
        <w:rPr>
          <w:sz w:val="24"/>
          <w:szCs w:val="24"/>
        </w:rPr>
        <w:t xml:space="preserve">  </w:t>
      </w:r>
      <w:r>
        <w:rPr>
          <w:sz w:val="24"/>
          <w:szCs w:val="24"/>
        </w:rPr>
        <w:t>Whilst this could encourage developers to strive to exceed minimum 10% requirements, it is not enforceable through an SPD, so significant effects are not likely / certain in this respect either.</w:t>
      </w:r>
    </w:p>
    <w:p>
      <w:pPr>
        <w:numPr>
          <w:ilvl w:val="1"/>
          <w:numId w:val="6"/>
        </w:numPr>
        <w:tabs>
          <w:tab w:val="left" w:pos="567"/>
        </w:tabs>
        <w:spacing w:before="240" w:after="240"/>
        <w:ind w:left="567" w:hanging="567"/>
        <w:jc w:val="both"/>
      </w:pPr>
      <w:r>
        <w:rPr>
          <w:sz w:val="24"/>
          <w:szCs w:val="24"/>
        </w:rPr>
        <w:t xml:space="preserve">For the purposes of SEA, it is concluded that there would be </w:t>
      </w:r>
      <w:r>
        <w:rPr>
          <w:sz w:val="24"/>
          <w:szCs w:val="24"/>
          <w:u w:val="single"/>
        </w:rPr>
        <w:t>no likely significant effects (either</w:t>
      </w:r>
      <w:r>
        <w:rPr>
          <w:sz w:val="24"/>
          <w:szCs w:val="24"/>
        </w:rPr>
        <w:t xml:space="preserve"> </w:t>
      </w:r>
      <w:r>
        <w:rPr>
          <w:sz w:val="24"/>
          <w:szCs w:val="24"/>
          <w:u w:val="single"/>
        </w:rPr>
        <w:t>positive or negative)</w:t>
      </w:r>
      <w:r>
        <w:rPr>
          <w:sz w:val="24"/>
          <w:szCs w:val="24"/>
        </w:rPr>
        <w:t xml:space="preserve">. </w:t>
      </w:r>
    </w:p>
    <w:p>
      <w:pPr>
        <w:pStyle w:val="Heading3"/>
        <w:spacing w:before="360" w:after="120" w:line="240" w:lineRule="auto"/>
        <w:rPr>
          <w:b/>
          <w:bCs/>
          <w:sz w:val="30"/>
          <w:szCs w:val="30"/>
        </w:rPr>
      </w:pPr>
      <w:bookmarkStart w:id="48" w:name="_Toc140585485"/>
      <w:r>
        <w:rPr>
          <w:rFonts w:ascii="Arial" w:eastAsia="Arial" w:hAnsi="Arial" w:cs="Arial"/>
          <w:i w:val="0"/>
          <w:color w:val="008768"/>
          <w:sz w:val="30"/>
          <w:szCs w:val="30"/>
        </w:rPr>
        <w:t>Material Assets, Population and Human health</w:t>
      </w:r>
      <w:bookmarkEnd w:id="48"/>
      <w:r>
        <w:rPr>
          <w:rFonts w:ascii="Arial" w:eastAsia="Arial" w:hAnsi="Arial" w:cs="Arial"/>
          <w:i w:val="0"/>
          <w:color w:val="008768"/>
          <w:sz w:val="30"/>
          <w:szCs w:val="30"/>
        </w:rPr>
        <w:t xml:space="preserve"> </w:t>
      </w:r>
    </w:p>
    <w:p>
      <w:pPr>
        <w:numPr>
          <w:ilvl w:val="1"/>
          <w:numId w:val="6"/>
        </w:numPr>
        <w:tabs>
          <w:tab w:val="left" w:pos="567"/>
        </w:tabs>
        <w:spacing w:before="240" w:after="180"/>
        <w:ind w:left="567" w:hanging="567"/>
        <w:jc w:val="both"/>
      </w:pPr>
      <w:r>
        <w:rPr>
          <w:sz w:val="24"/>
          <w:szCs w:val="24"/>
        </w:rPr>
        <w:t>The SPD does not involve targets for housing or employment growth, nor does it identify land or broad locations for development.</w:t>
      </w:r>
      <w:r>
        <w:rPr>
          <w:sz w:val="24"/>
          <w:szCs w:val="24"/>
        </w:rPr>
        <w:t xml:space="preserve">  </w:t>
      </w:r>
      <w:r>
        <w:rPr>
          <w:sz w:val="24"/>
          <w:szCs w:val="24"/>
        </w:rPr>
        <w:t xml:space="preserve">In this sense, there are unlikely to be any significant effects with regards to population and human health. </w:t>
      </w:r>
    </w:p>
    <w:p>
      <w:pPr>
        <w:numPr>
          <w:ilvl w:val="1"/>
          <w:numId w:val="6"/>
        </w:numPr>
        <w:tabs>
          <w:tab w:val="left" w:pos="567"/>
        </w:tabs>
        <w:spacing w:before="0" w:after="180"/>
        <w:ind w:left="567" w:hanging="567"/>
        <w:jc w:val="both"/>
      </w:pPr>
      <w:r>
        <w:rPr>
          <w:sz w:val="24"/>
          <w:szCs w:val="24"/>
        </w:rPr>
        <w:t>The SPD could influence the amount and location of development coming forward in particular locations as it sets out expectations in relation to space standards, housing density and access to services.</w:t>
      </w:r>
      <w:r>
        <w:rPr>
          <w:sz w:val="24"/>
          <w:szCs w:val="24"/>
        </w:rPr>
        <w:t xml:space="preserve">  </w:t>
      </w:r>
      <w:r>
        <w:rPr>
          <w:sz w:val="24"/>
          <w:szCs w:val="24"/>
        </w:rPr>
        <w:t>The expectations in relation to the type and quality of development could have mixed effects.</w:t>
      </w:r>
      <w:r>
        <w:rPr>
          <w:sz w:val="24"/>
          <w:szCs w:val="24"/>
        </w:rPr>
        <w:t xml:space="preserve">  </w:t>
      </w:r>
      <w:r>
        <w:rPr>
          <w:sz w:val="24"/>
          <w:szCs w:val="24"/>
        </w:rPr>
        <w:t>On one hand, the SPD is likely to be positive in relation to health and wellbeing as it should lead to higher quality developments that address a range of factors that can influence health.</w:t>
      </w:r>
      <w:r>
        <w:rPr>
          <w:sz w:val="24"/>
          <w:szCs w:val="24"/>
        </w:rPr>
        <w:t xml:space="preserve">  </w:t>
      </w:r>
      <w:r>
        <w:rPr>
          <w:sz w:val="24"/>
          <w:szCs w:val="24"/>
        </w:rPr>
        <w:t>On the other, there is a large range of ‘requirements’ that could affect housing viability.</w:t>
      </w:r>
      <w:r>
        <w:rPr>
          <w:sz w:val="24"/>
          <w:szCs w:val="24"/>
        </w:rPr>
        <w:t xml:space="preserve">  </w:t>
      </w:r>
      <w:r>
        <w:rPr>
          <w:sz w:val="24"/>
          <w:szCs w:val="24"/>
        </w:rPr>
        <w:t xml:space="preserve">It is considered unlikely that these effects would be significant though, as there is an expectation that SPDs should not unnecessarily add to the financial burden of developments. </w:t>
      </w:r>
      <w:r>
        <w:rPr>
          <w:sz w:val="24"/>
          <w:szCs w:val="24"/>
        </w:rPr>
        <w:t xml:space="preserve"> </w:t>
      </w:r>
    </w:p>
    <w:p>
      <w:pPr>
        <w:numPr>
          <w:ilvl w:val="1"/>
          <w:numId w:val="6"/>
        </w:numPr>
        <w:tabs>
          <w:tab w:val="left" w:pos="567"/>
        </w:tabs>
        <w:spacing w:before="0" w:after="180"/>
        <w:ind w:left="567" w:hanging="567"/>
        <w:jc w:val="both"/>
      </w:pPr>
      <w:r>
        <w:rPr>
          <w:sz w:val="24"/>
          <w:szCs w:val="24"/>
        </w:rPr>
        <w:t xml:space="preserve">It is concluded that given the scope and status of the SPD </w:t>
      </w:r>
      <w:r>
        <w:rPr>
          <w:sz w:val="24"/>
          <w:szCs w:val="24"/>
        </w:rPr>
        <w:t xml:space="preserve"> </w:t>
      </w:r>
      <w:r>
        <w:rPr>
          <w:sz w:val="24"/>
          <w:szCs w:val="24"/>
        </w:rPr>
        <w:t xml:space="preserve">there are </w:t>
      </w:r>
      <w:r>
        <w:rPr>
          <w:sz w:val="24"/>
          <w:szCs w:val="24"/>
          <w:u w:val="single"/>
        </w:rPr>
        <w:t>no likely</w:t>
      </w:r>
      <w:r>
        <w:rPr>
          <w:sz w:val="24"/>
          <w:szCs w:val="24"/>
        </w:rPr>
        <w:t xml:space="preserve"> </w:t>
      </w:r>
      <w:r>
        <w:rPr>
          <w:sz w:val="24"/>
          <w:szCs w:val="24"/>
          <w:u w:val="single"/>
        </w:rPr>
        <w:t>significant effects (either positive or negative)</w:t>
      </w:r>
      <w:r>
        <w:rPr>
          <w:sz w:val="24"/>
          <w:szCs w:val="24"/>
        </w:rPr>
        <w:t xml:space="preserve">. </w:t>
      </w:r>
      <w:r>
        <w:rPr>
          <w:sz w:val="24"/>
          <w:szCs w:val="24"/>
        </w:rPr>
        <w:t xml:space="preserve"> </w:t>
      </w:r>
      <w:r>
        <w:rPr>
          <w:sz w:val="24"/>
          <w:szCs w:val="24"/>
        </w:rPr>
        <w:t>The consideration of housing provision and distribution is being tested through the emerging Local Plan Sustainability Appraisal process.</w:t>
      </w:r>
    </w:p>
    <w:p>
      <w:pPr>
        <w:pStyle w:val="Heading3"/>
        <w:spacing w:before="240" w:after="120" w:line="240" w:lineRule="auto"/>
        <w:rPr>
          <w:b/>
          <w:bCs/>
          <w:sz w:val="30"/>
          <w:szCs w:val="30"/>
        </w:rPr>
      </w:pPr>
      <w:bookmarkStart w:id="49" w:name="_Toc140585486"/>
      <w:r>
        <w:rPr>
          <w:rFonts w:ascii="Arial" w:eastAsia="Arial" w:hAnsi="Arial" w:cs="Arial"/>
          <w:i w:val="0"/>
          <w:color w:val="008768"/>
          <w:sz w:val="30"/>
          <w:szCs w:val="30"/>
        </w:rPr>
        <w:t>Soil</w:t>
      </w:r>
      <w:bookmarkEnd w:id="49"/>
    </w:p>
    <w:p>
      <w:pPr>
        <w:numPr>
          <w:ilvl w:val="1"/>
          <w:numId w:val="6"/>
        </w:numPr>
        <w:tabs>
          <w:tab w:val="left" w:pos="567"/>
        </w:tabs>
        <w:spacing w:before="0" w:after="180"/>
        <w:ind w:left="567" w:hanging="567"/>
        <w:jc w:val="both"/>
      </w:pPr>
      <w:r>
        <w:rPr>
          <w:sz w:val="24"/>
          <w:szCs w:val="24"/>
        </w:rPr>
        <w:t>The district contains a significant amount of Grade 2 agricultural land (over 50,000 hectares), which is considered to be ‘best and most versatile’.</w:t>
      </w:r>
      <w:r>
        <w:rPr>
          <w:sz w:val="24"/>
          <w:szCs w:val="24"/>
        </w:rPr>
        <w:t xml:space="preserve">  </w:t>
      </w:r>
    </w:p>
    <w:p>
      <w:pPr>
        <w:numPr>
          <w:ilvl w:val="1"/>
          <w:numId w:val="6"/>
        </w:numPr>
        <w:tabs>
          <w:tab w:val="left" w:pos="567"/>
        </w:tabs>
        <w:spacing w:before="0" w:after="180"/>
        <w:ind w:left="567" w:hanging="567"/>
        <w:jc w:val="both"/>
      </w:pPr>
      <w:r>
        <w:rPr>
          <w:sz w:val="24"/>
          <w:szCs w:val="24"/>
        </w:rPr>
        <w:t>However, the SPD will not lead to any change in land use that would affect such resources.</w:t>
      </w:r>
      <w:r>
        <w:rPr>
          <w:sz w:val="24"/>
          <w:szCs w:val="24"/>
        </w:rPr>
        <w:t xml:space="preserve">  </w:t>
      </w:r>
      <w:r>
        <w:rPr>
          <w:sz w:val="24"/>
          <w:szCs w:val="24"/>
        </w:rPr>
        <w:t>There will also be a need to protect soil resources to align with the requirements of the NPPF and Local Plan policy (adopted and emerging).</w:t>
      </w:r>
    </w:p>
    <w:p>
      <w:pPr>
        <w:numPr>
          <w:ilvl w:val="1"/>
          <w:numId w:val="6"/>
        </w:numPr>
        <w:tabs>
          <w:tab w:val="left" w:pos="567"/>
        </w:tabs>
        <w:spacing w:before="0" w:after="180"/>
        <w:ind w:left="567" w:hanging="567"/>
        <w:jc w:val="both"/>
      </w:pPr>
      <w:r>
        <w:rPr>
          <w:sz w:val="24"/>
          <w:szCs w:val="24"/>
        </w:rPr>
        <w:t xml:space="preserve">Therefore, it is concluded that there are </w:t>
      </w:r>
      <w:r>
        <w:rPr>
          <w:sz w:val="24"/>
          <w:szCs w:val="24"/>
          <w:u w:val="single"/>
        </w:rPr>
        <w:t>no likely significant effects (either positive or negative)</w:t>
      </w:r>
      <w:r>
        <w:rPr>
          <w:sz w:val="24"/>
          <w:szCs w:val="24"/>
        </w:rPr>
        <w:t xml:space="preserve">. </w:t>
      </w:r>
    </w:p>
    <w:p>
      <w:pPr>
        <w:pStyle w:val="Heading4"/>
        <w:spacing w:before="120" w:after="120" w:line="240" w:lineRule="auto"/>
        <w:rPr>
          <w:rFonts w:ascii="Arial" w:eastAsia="Arial" w:hAnsi="Arial" w:cs="Arial"/>
          <w:b/>
          <w:bCs/>
          <w:color w:val="008768"/>
          <w:sz w:val="24"/>
          <w:szCs w:val="24"/>
        </w:rPr>
      </w:pPr>
    </w:p>
    <w:p>
      <w:pPr>
        <w:pStyle w:val="Heading3"/>
        <w:spacing w:before="240" w:after="120" w:line="240" w:lineRule="auto"/>
        <w:rPr>
          <w:b/>
          <w:bCs/>
          <w:sz w:val="30"/>
          <w:szCs w:val="30"/>
        </w:rPr>
      </w:pPr>
      <w:bookmarkStart w:id="50" w:name="_Toc140585487"/>
      <w:r>
        <w:rPr>
          <w:rFonts w:ascii="Arial" w:eastAsia="Arial" w:hAnsi="Arial" w:cs="Arial"/>
          <w:i w:val="0"/>
          <w:color w:val="008768"/>
          <w:sz w:val="30"/>
          <w:szCs w:val="30"/>
        </w:rPr>
        <w:t>Water</w:t>
      </w:r>
      <w:bookmarkEnd w:id="50"/>
    </w:p>
    <w:p>
      <w:pPr>
        <w:numPr>
          <w:ilvl w:val="1"/>
          <w:numId w:val="6"/>
        </w:numPr>
        <w:tabs>
          <w:tab w:val="left" w:pos="567"/>
        </w:tabs>
        <w:spacing w:before="0" w:after="120"/>
        <w:ind w:left="567" w:hanging="567"/>
        <w:jc w:val="both"/>
      </w:pPr>
      <w:r>
        <w:rPr>
          <w:sz w:val="24"/>
          <w:szCs w:val="24"/>
        </w:rPr>
        <w:t>There are several measures that seek to ensure new developments manage water resources through design.</w:t>
      </w:r>
      <w:r>
        <w:rPr>
          <w:sz w:val="24"/>
          <w:szCs w:val="24"/>
        </w:rPr>
        <w:t xml:space="preserve">  </w:t>
      </w:r>
      <w:r>
        <w:rPr>
          <w:sz w:val="24"/>
          <w:szCs w:val="24"/>
        </w:rPr>
        <w:t>This includes consideration of sustainable drainage, water saving measures and flood management.</w:t>
      </w:r>
      <w:r>
        <w:rPr>
          <w:sz w:val="24"/>
          <w:szCs w:val="24"/>
        </w:rPr>
        <w:t xml:space="preserve">  </w:t>
      </w:r>
      <w:r>
        <w:rPr>
          <w:sz w:val="24"/>
          <w:szCs w:val="24"/>
        </w:rPr>
        <w:t xml:space="preserve">For example, there is a desire to maximise greywater and rainwater recycling within homes. Whilst these measures are positive, they are not firm policy requirements and therefore, it is considered that there would be </w:t>
      </w:r>
      <w:r>
        <w:rPr>
          <w:sz w:val="24"/>
          <w:szCs w:val="24"/>
          <w:u w:val="single"/>
        </w:rPr>
        <w:t>no likely significant effects.</w:t>
      </w:r>
    </w:p>
    <w:p>
      <w:pPr>
        <w:spacing w:before="0" w:after="120"/>
        <w:ind w:left="567"/>
        <w:jc w:val="both"/>
        <w:rPr>
          <w:rFonts w:ascii="Arial" w:eastAsia="Arial" w:hAnsi="Arial" w:cs="Arial"/>
          <w:sz w:val="24"/>
          <w:szCs w:val="24"/>
        </w:rPr>
      </w:pPr>
    </w:p>
    <w:p>
      <w:pPr>
        <w:pStyle w:val="Heading3"/>
        <w:spacing w:before="240" w:after="120" w:line="240" w:lineRule="auto"/>
        <w:rPr>
          <w:b/>
          <w:bCs/>
          <w:sz w:val="30"/>
          <w:szCs w:val="30"/>
        </w:rPr>
      </w:pPr>
      <w:bookmarkStart w:id="51" w:name="_Toc140585488"/>
      <w:r>
        <w:rPr>
          <w:rFonts w:ascii="Arial" w:eastAsia="Arial" w:hAnsi="Arial" w:cs="Arial"/>
          <w:i w:val="0"/>
          <w:color w:val="008768"/>
          <w:sz w:val="30"/>
          <w:szCs w:val="30"/>
        </w:rPr>
        <w:t>Air</w:t>
      </w:r>
      <w:bookmarkEnd w:id="51"/>
    </w:p>
    <w:p>
      <w:pPr>
        <w:numPr>
          <w:ilvl w:val="1"/>
          <w:numId w:val="6"/>
        </w:numPr>
        <w:tabs>
          <w:tab w:val="left" w:pos="567"/>
        </w:tabs>
        <w:spacing w:before="0" w:after="180"/>
        <w:ind w:left="567" w:hanging="567"/>
        <w:jc w:val="both"/>
      </w:pPr>
      <w:r>
        <w:rPr>
          <w:sz w:val="24"/>
          <w:szCs w:val="24"/>
        </w:rPr>
        <w:t>The SPD will not contribute to an increase in homes or employment, which is when significant effects in relation to air quality typically arise (through the cumulative effects of increased growth).</w:t>
      </w:r>
      <w:r>
        <w:rPr>
          <w:sz w:val="24"/>
          <w:szCs w:val="24"/>
        </w:rPr>
        <w:t xml:space="preserve">   </w:t>
      </w:r>
      <w:r>
        <w:rPr>
          <w:sz w:val="24"/>
          <w:szCs w:val="24"/>
        </w:rPr>
        <w:t>Having said that, the SPD encourages development to be located in accessible locations and sets out a range of expectations for development to be supportive of modal shift (for example, adequate walking and cycling links, appropriate parking standards, space for electric vehicle charge points etc).</w:t>
      </w:r>
      <w:r>
        <w:rPr>
          <w:sz w:val="24"/>
          <w:szCs w:val="24"/>
        </w:rPr>
        <w:t xml:space="preserve">  </w:t>
      </w:r>
      <w:r>
        <w:rPr>
          <w:sz w:val="24"/>
          <w:szCs w:val="24"/>
        </w:rPr>
        <w:t>Whilst these are all likely to contribute positively towards an improvement in air quality over the longer term, it is expected that such measures would need to be addressed to satisfy existing policy.</w:t>
      </w:r>
      <w:r>
        <w:rPr>
          <w:sz w:val="24"/>
          <w:szCs w:val="24"/>
        </w:rPr>
        <w:t xml:space="preserve">  </w:t>
      </w:r>
      <w:r>
        <w:rPr>
          <w:sz w:val="24"/>
          <w:szCs w:val="24"/>
        </w:rPr>
        <w:t>Whilst the SPD will help in the implementation of policy measures to address air quality (and travel), this is not a radical change in policy direction.</w:t>
      </w:r>
      <w:r>
        <w:rPr>
          <w:sz w:val="24"/>
          <w:szCs w:val="24"/>
        </w:rPr>
        <w:t xml:space="preserve">  </w:t>
      </w:r>
      <w:r>
        <w:rPr>
          <w:sz w:val="24"/>
          <w:szCs w:val="24"/>
        </w:rPr>
        <w:t xml:space="preserve">Therefore, whilst positive effects would be expected, these are </w:t>
      </w:r>
      <w:r>
        <w:rPr>
          <w:sz w:val="24"/>
          <w:szCs w:val="24"/>
          <w:u w:val="single"/>
        </w:rPr>
        <w:t>not likely to be significant</w:t>
      </w:r>
      <w:r>
        <w:rPr>
          <w:sz w:val="24"/>
          <w:szCs w:val="24"/>
        </w:rPr>
        <w:t xml:space="preserve">. </w:t>
      </w:r>
    </w:p>
    <w:p>
      <w:pPr>
        <w:spacing w:before="0" w:after="180"/>
        <w:rPr>
          <w:rFonts w:ascii="Arial" w:eastAsia="Arial" w:hAnsi="Arial" w:cs="Arial"/>
          <w:sz w:val="18"/>
          <w:szCs w:val="18"/>
        </w:rPr>
      </w:pPr>
    </w:p>
    <w:p>
      <w:pPr>
        <w:pStyle w:val="Heading3"/>
        <w:spacing w:before="240" w:after="120" w:line="240" w:lineRule="auto"/>
        <w:rPr>
          <w:b/>
          <w:bCs/>
          <w:sz w:val="30"/>
          <w:szCs w:val="30"/>
        </w:rPr>
      </w:pPr>
      <w:bookmarkStart w:id="52" w:name="_Toc140585489"/>
      <w:r>
        <w:rPr>
          <w:rFonts w:ascii="Arial" w:eastAsia="Arial" w:hAnsi="Arial" w:cs="Arial"/>
          <w:i w:val="0"/>
          <w:color w:val="008768"/>
          <w:sz w:val="30"/>
          <w:szCs w:val="30"/>
        </w:rPr>
        <w:t>Climatic factors</w:t>
      </w:r>
      <w:bookmarkEnd w:id="52"/>
    </w:p>
    <w:p>
      <w:pPr>
        <w:numPr>
          <w:ilvl w:val="1"/>
          <w:numId w:val="6"/>
        </w:numPr>
        <w:tabs>
          <w:tab w:val="left" w:pos="567"/>
        </w:tabs>
        <w:spacing w:before="0" w:after="180"/>
        <w:ind w:left="567" w:hanging="567"/>
        <w:jc w:val="both"/>
      </w:pPr>
      <w:r>
        <w:rPr>
          <w:sz w:val="24"/>
          <w:szCs w:val="24"/>
        </w:rPr>
        <w:t>With regards to climate change mitigation, the SPD includes a range of measures to drive down carbon emissions, improve energy and water efficiency, minimise embodied carbon, and increase the use of low-carbon energy sources.</w:t>
      </w:r>
      <w:r>
        <w:rPr>
          <w:sz w:val="24"/>
          <w:szCs w:val="24"/>
        </w:rPr>
        <w:t xml:space="preserve">   </w:t>
      </w:r>
      <w:r>
        <w:rPr>
          <w:sz w:val="24"/>
          <w:szCs w:val="24"/>
        </w:rPr>
        <w:t>These are all positive measures, and help to complement national policy and local aspirations for zero carbon lifestyles.</w:t>
      </w:r>
      <w:r>
        <w:rPr>
          <w:sz w:val="24"/>
          <w:szCs w:val="24"/>
        </w:rPr>
        <w:t xml:space="preserve">  </w:t>
      </w:r>
    </w:p>
    <w:p>
      <w:pPr>
        <w:numPr>
          <w:ilvl w:val="1"/>
          <w:numId w:val="6"/>
        </w:numPr>
        <w:tabs>
          <w:tab w:val="left" w:pos="567"/>
        </w:tabs>
        <w:spacing w:before="0" w:after="180"/>
        <w:ind w:left="567" w:hanging="567"/>
        <w:jc w:val="both"/>
      </w:pPr>
      <w:r>
        <w:rPr>
          <w:sz w:val="24"/>
          <w:szCs w:val="24"/>
        </w:rPr>
        <w:t>Though the wording of the SPD suggests that certain measures will be a ‘must’, it is important to remember that no new policy is being introduced, and therefore these have been viewed as ‘expectations’ rather than firm requirements.</w:t>
      </w:r>
      <w:r>
        <w:rPr>
          <w:sz w:val="24"/>
          <w:szCs w:val="24"/>
        </w:rPr>
        <w:t xml:space="preserve">  </w:t>
      </w:r>
      <w:r>
        <w:rPr>
          <w:sz w:val="24"/>
          <w:szCs w:val="24"/>
        </w:rPr>
        <w:t>In terms of significance, no additional development is being planned for, and new development (which is being addressed through the new Local Plan) will still contribute a relatively limited amount of carbon compared to existing building stock.</w:t>
      </w:r>
    </w:p>
    <w:p>
      <w:pPr>
        <w:numPr>
          <w:ilvl w:val="1"/>
          <w:numId w:val="6"/>
        </w:numPr>
        <w:tabs>
          <w:tab w:val="left" w:pos="567"/>
        </w:tabs>
        <w:spacing w:before="0" w:after="180"/>
        <w:ind w:left="567" w:hanging="567"/>
        <w:jc w:val="both"/>
      </w:pPr>
      <w:r>
        <w:rPr>
          <w:sz w:val="24"/>
          <w:szCs w:val="24"/>
        </w:rPr>
        <w:t xml:space="preserve">Given the scope of the SPD, it is concluded that there are </w:t>
      </w:r>
      <w:r>
        <w:rPr>
          <w:sz w:val="24"/>
          <w:szCs w:val="24"/>
          <w:u w:val="single"/>
        </w:rPr>
        <w:t>no likely significant</w:t>
      </w:r>
      <w:r>
        <w:rPr>
          <w:sz w:val="24"/>
          <w:szCs w:val="24"/>
        </w:rPr>
        <w:t xml:space="preserve"> </w:t>
      </w:r>
      <w:r>
        <w:rPr>
          <w:sz w:val="24"/>
          <w:szCs w:val="24"/>
          <w:u w:val="single"/>
        </w:rPr>
        <w:t>effects (either positive or negative)</w:t>
      </w:r>
      <w:r>
        <w:rPr>
          <w:sz w:val="24"/>
          <w:szCs w:val="24"/>
        </w:rPr>
        <w:t xml:space="preserve">. </w:t>
      </w:r>
    </w:p>
    <w:p>
      <w:pPr>
        <w:spacing w:before="0" w:after="180"/>
        <w:ind w:left="567"/>
        <w:jc w:val="both"/>
        <w:rPr>
          <w:rFonts w:ascii="Arial" w:eastAsia="Arial" w:hAnsi="Arial" w:cs="Arial"/>
          <w:sz w:val="24"/>
          <w:szCs w:val="24"/>
        </w:rPr>
      </w:pPr>
    </w:p>
    <w:p>
      <w:pPr>
        <w:pStyle w:val="Heading3"/>
        <w:spacing w:before="240" w:after="120" w:line="240" w:lineRule="auto"/>
        <w:rPr>
          <w:b/>
          <w:bCs/>
          <w:sz w:val="30"/>
          <w:szCs w:val="30"/>
        </w:rPr>
      </w:pPr>
      <w:bookmarkStart w:id="53" w:name="_Hlk122506345"/>
      <w:bookmarkStart w:id="54" w:name="_Toc140585490"/>
      <w:r>
        <w:rPr>
          <w:rFonts w:ascii="Arial" w:eastAsia="Arial" w:hAnsi="Arial" w:cs="Arial"/>
          <w:i w:val="0"/>
          <w:color w:val="008768"/>
          <w:sz w:val="30"/>
          <w:szCs w:val="30"/>
        </w:rPr>
        <w:t>Cultural heritage, including architectural and archaeological heritage</w:t>
      </w:r>
      <w:bookmarkEnd w:id="54"/>
    </w:p>
    <w:p>
      <w:pPr>
        <w:numPr>
          <w:ilvl w:val="1"/>
          <w:numId w:val="6"/>
        </w:numPr>
        <w:tabs>
          <w:tab w:val="left" w:pos="450"/>
        </w:tabs>
        <w:spacing w:before="120" w:after="180"/>
        <w:ind w:left="567" w:hanging="567"/>
        <w:jc w:val="both"/>
      </w:pPr>
      <w:bookmarkEnd w:id="53"/>
      <w:r>
        <w:rPr>
          <w:sz w:val="24"/>
          <w:szCs w:val="24"/>
        </w:rPr>
        <w:t>Many of the settlements across the district hold significant heritage value, reflected through the large number of historic environment designations of both local and national value.</w:t>
      </w:r>
      <w:r>
        <w:rPr>
          <w:sz w:val="24"/>
          <w:szCs w:val="24"/>
        </w:rPr>
        <w:t xml:space="preserve">  </w:t>
      </w:r>
      <w:r>
        <w:rPr>
          <w:sz w:val="24"/>
          <w:szCs w:val="24"/>
        </w:rPr>
        <w:t>It is therefore considered that the setting of heritage assets are vulnerable to change.</w:t>
      </w:r>
    </w:p>
    <w:p>
      <w:pPr>
        <w:numPr>
          <w:ilvl w:val="1"/>
          <w:numId w:val="6"/>
        </w:numPr>
        <w:tabs>
          <w:tab w:val="left" w:pos="567"/>
        </w:tabs>
        <w:spacing w:before="120" w:after="180"/>
        <w:ind w:left="567" w:hanging="567"/>
        <w:jc w:val="both"/>
      </w:pPr>
      <w:r>
        <w:rPr>
          <w:sz w:val="24"/>
          <w:szCs w:val="24"/>
        </w:rPr>
        <w:t>The SPD expects development to value heritage, history and culture.</w:t>
      </w:r>
      <w:r>
        <w:rPr>
          <w:sz w:val="24"/>
          <w:szCs w:val="24"/>
        </w:rPr>
        <w:t xml:space="preserve">  </w:t>
      </w:r>
      <w:r>
        <w:rPr>
          <w:sz w:val="24"/>
          <w:szCs w:val="24"/>
        </w:rPr>
        <w:t>It provides design guidance and expectations that should help to guide development so that negative effects on heritage are more likely to be avoided and positive effects achieved.</w:t>
      </w:r>
      <w:r>
        <w:rPr>
          <w:sz w:val="24"/>
          <w:szCs w:val="24"/>
        </w:rPr>
        <w:t xml:space="preserve">  </w:t>
      </w:r>
      <w:r>
        <w:rPr>
          <w:sz w:val="24"/>
          <w:szCs w:val="24"/>
        </w:rPr>
        <w:t>The SPD also seeks to ensure that heritage is taken into consideration in the delivery of other design features, to ensure that high quality developments are compatible with and complement the historic environment.</w:t>
      </w:r>
    </w:p>
    <w:p>
      <w:pPr>
        <w:numPr>
          <w:ilvl w:val="1"/>
          <w:numId w:val="6"/>
        </w:numPr>
        <w:tabs>
          <w:tab w:val="left" w:pos="567"/>
        </w:tabs>
        <w:spacing w:before="120" w:after="180"/>
        <w:ind w:left="567" w:hanging="567"/>
        <w:jc w:val="both"/>
      </w:pPr>
      <w:r>
        <w:rPr>
          <w:sz w:val="24"/>
          <w:szCs w:val="24"/>
        </w:rPr>
        <w:t>The SPD does not introduce new policy requirements or stray significantly from the existing policy framework provided by the NPPF, national design code and adopted Local Plan.</w:t>
      </w:r>
      <w:r>
        <w:rPr>
          <w:sz w:val="24"/>
          <w:szCs w:val="24"/>
        </w:rPr>
        <w:t xml:space="preserve">  </w:t>
      </w:r>
      <w:r>
        <w:rPr>
          <w:sz w:val="24"/>
          <w:szCs w:val="24"/>
        </w:rPr>
        <w:t xml:space="preserve">As such, it is considered that there are </w:t>
      </w:r>
      <w:r>
        <w:rPr>
          <w:sz w:val="24"/>
          <w:szCs w:val="24"/>
          <w:u w:val="single"/>
        </w:rPr>
        <w:t>no likely significant effects (either positive or negative)</w:t>
      </w:r>
      <w:r>
        <w:rPr>
          <w:sz w:val="24"/>
          <w:szCs w:val="24"/>
        </w:rPr>
        <w:t>.</w:t>
      </w:r>
    </w:p>
    <w:p>
      <w:pPr>
        <w:pStyle w:val="Heading3"/>
        <w:spacing w:before="240" w:after="120" w:line="240" w:lineRule="auto"/>
        <w:rPr>
          <w:b/>
          <w:bCs/>
          <w:sz w:val="30"/>
          <w:szCs w:val="30"/>
        </w:rPr>
      </w:pPr>
      <w:bookmarkStart w:id="55" w:name="_Toc140585491"/>
      <w:r>
        <w:rPr>
          <w:rFonts w:ascii="Arial" w:eastAsia="Arial" w:hAnsi="Arial" w:cs="Arial"/>
          <w:i w:val="0"/>
          <w:color w:val="008768"/>
          <w:sz w:val="30"/>
          <w:szCs w:val="30"/>
        </w:rPr>
        <w:t>Landscape</w:t>
      </w:r>
      <w:bookmarkEnd w:id="55"/>
    </w:p>
    <w:p>
      <w:pPr>
        <w:numPr>
          <w:ilvl w:val="1"/>
          <w:numId w:val="6"/>
        </w:numPr>
        <w:tabs>
          <w:tab w:val="left" w:pos="567"/>
        </w:tabs>
        <w:spacing w:before="240" w:after="180"/>
        <w:ind w:left="567" w:hanging="567"/>
        <w:jc w:val="both"/>
      </w:pPr>
      <w:r>
        <w:rPr>
          <w:sz w:val="24"/>
          <w:szCs w:val="24"/>
        </w:rPr>
        <w:t>There are no nationally designated landscapes within Uttlesford.</w:t>
      </w:r>
      <w:r>
        <w:rPr>
          <w:sz w:val="24"/>
          <w:szCs w:val="24"/>
        </w:rPr>
        <w:t xml:space="preserve">  </w:t>
      </w:r>
      <w:r>
        <w:rPr>
          <w:sz w:val="24"/>
          <w:szCs w:val="24"/>
        </w:rPr>
        <w:t>However, as a predominantly rural district, the link between settlements and the countryside setting is strong.</w:t>
      </w:r>
    </w:p>
    <w:p>
      <w:pPr>
        <w:numPr>
          <w:ilvl w:val="1"/>
          <w:numId w:val="6"/>
        </w:numPr>
        <w:tabs>
          <w:tab w:val="left" w:pos="567"/>
        </w:tabs>
        <w:spacing w:before="0" w:after="180"/>
        <w:ind w:left="567" w:hanging="567"/>
        <w:jc w:val="both"/>
      </w:pPr>
      <w:r>
        <w:rPr>
          <w:sz w:val="24"/>
          <w:szCs w:val="24"/>
        </w:rPr>
        <w:t>The SPD does not involve growth and is unlikely to support development in rural locations unless they are of high quality design and take account of landscape context (indeed, this is one of the aims for new development within the SPD).</w:t>
      </w:r>
      <w:r>
        <w:rPr>
          <w:sz w:val="24"/>
          <w:szCs w:val="24"/>
        </w:rPr>
        <w:t xml:space="preserve">  </w:t>
      </w:r>
      <w:r>
        <w:rPr>
          <w:sz w:val="24"/>
          <w:szCs w:val="24"/>
        </w:rPr>
        <w:t>The expectations within the SPD essentially reflect and complement existing policy (national and local), and is unlikely to lead to significant effects on areas of landscape importance.</w:t>
      </w:r>
      <w:r>
        <w:rPr>
          <w:sz w:val="24"/>
          <w:szCs w:val="24"/>
        </w:rPr>
        <w:t xml:space="preserve">  </w:t>
      </w:r>
      <w:r>
        <w:rPr>
          <w:sz w:val="24"/>
          <w:szCs w:val="24"/>
        </w:rPr>
        <w:t xml:space="preserve">Therefore, whilst positive effects would be expected, these are </w:t>
      </w:r>
      <w:r>
        <w:rPr>
          <w:sz w:val="24"/>
          <w:szCs w:val="24"/>
          <w:u w:val="single"/>
        </w:rPr>
        <w:t>not likely to be significant</w:t>
      </w:r>
      <w:r>
        <w:rPr>
          <w:sz w:val="24"/>
          <w:szCs w:val="24"/>
        </w:rPr>
        <w:t>.</w:t>
      </w:r>
    </w:p>
    <w:p>
      <w:pPr>
        <w:spacing w:before="0" w:after="0" w:line="240" w:lineRule="auto"/>
      </w:pPr>
      <w:r>
        <w:br w:type="page"/>
      </w:r>
    </w:p>
    <w:tbl>
      <w:tblPr>
        <w:tblCellMar>
          <w:top w:w="0" w:type="dxa"/>
          <w:left w:w="0" w:type="dxa"/>
          <w:bottom w:w="0" w:type="dxa"/>
          <w:right w:w="0" w:type="dxa"/>
        </w:tblCellMar>
      </w:tblPr>
      <w:tblGrid>
        <w:gridCol w:w="9026"/>
      </w:tblGrid>
      <w:tr>
        <w:tblPrEx>
          <w:tblCellMar>
            <w:top w:w="0" w:type="dxa"/>
            <w:left w:w="0" w:type="dxa"/>
            <w:bottom w:w="0" w:type="dxa"/>
            <w:right w:w="0" w:type="dxa"/>
          </w:tblCellMar>
        </w:tblPrEx>
        <w:tc>
          <w:tcPr>
            <w:tcW w:w="9036" w:type="dxa"/>
            <w:noWrap w:val="0"/>
            <w:tcMar>
              <w:top w:w="33" w:type="dxa"/>
              <w:left w:w="0" w:type="dxa"/>
              <w:bottom w:w="33" w:type="dxa"/>
              <w:right w:w="118" w:type="dxa"/>
            </w:tcMar>
            <w:vAlign w:val="top"/>
            <w:hideMark/>
          </w:tcPr>
          <w:p>
            <w:pPr>
              <w:pStyle w:val="Heading1"/>
              <w:numPr>
                <w:ilvl w:val="0"/>
                <w:numId w:val="7"/>
              </w:numPr>
              <w:tabs>
                <w:tab w:val="left" w:pos="567"/>
              </w:tabs>
              <w:spacing w:before="120" w:after="120" w:line="240" w:lineRule="auto"/>
              <w:ind w:left="567" w:hanging="567"/>
              <w:rPr>
                <w:b/>
                <w:bCs/>
                <w:i w:val="0"/>
                <w:iCs w:val="0"/>
                <w:smallCaps w:val="0"/>
                <w:color w:val="000000"/>
                <w:sz w:val="48"/>
                <w:szCs w:val="48"/>
              </w:rPr>
            </w:pPr>
            <w:bookmarkStart w:id="56" w:name="_Toc140585492"/>
            <w:r>
              <w:rPr>
                <w:rFonts w:ascii="Arial" w:eastAsia="Arial" w:hAnsi="Arial" w:cs="Arial"/>
                <w:iCs w:val="0"/>
                <w:smallCaps w:val="0"/>
                <w:color w:val="00353E"/>
              </w:rPr>
              <w:t>Conclusions</w:t>
            </w:r>
            <w:bookmarkEnd w:id="56"/>
          </w:p>
        </w:tc>
      </w:tr>
    </w:tbl>
    <w:p>
      <w:pPr>
        <w:spacing w:before="0" w:after="180"/>
        <w:jc w:val="both"/>
      </w:pPr>
      <w:r>
        <w:rPr>
          <w:sz w:val="24"/>
          <w:szCs w:val="24"/>
        </w:rPr>
        <w:t xml:space="preserve"> </w:t>
      </w:r>
    </w:p>
    <w:p>
      <w:pPr>
        <w:numPr>
          <w:ilvl w:val="1"/>
          <w:numId w:val="8"/>
        </w:numPr>
        <w:tabs>
          <w:tab w:val="left" w:pos="567"/>
        </w:tabs>
        <w:spacing w:before="0" w:after="180"/>
        <w:ind w:left="567" w:hanging="567"/>
        <w:jc w:val="both"/>
      </w:pPr>
      <w:r>
        <w:rPr>
          <w:sz w:val="24"/>
          <w:szCs w:val="24"/>
        </w:rPr>
        <w:t xml:space="preserve">It is concluded that the SPD will have no likely significant effects (either positive or negative) and therefore a full SEA is not required. </w:t>
      </w:r>
      <w:r>
        <w:rPr>
          <w:sz w:val="24"/>
          <w:szCs w:val="24"/>
        </w:rPr>
        <w:t xml:space="preserve"> </w:t>
      </w:r>
      <w:r>
        <w:rPr>
          <w:sz w:val="24"/>
          <w:szCs w:val="24"/>
        </w:rPr>
        <w:t>It is also concluded that the plan will have no likely significant effects on European sites and therefore a HRA is not required.</w:t>
      </w:r>
      <w:r>
        <w:rPr>
          <w:sz w:val="24"/>
          <w:szCs w:val="24"/>
        </w:rPr>
        <w:t xml:space="preserve">  </w:t>
      </w:r>
    </w:p>
    <w:p>
      <w:pPr>
        <w:numPr>
          <w:ilvl w:val="1"/>
          <w:numId w:val="8"/>
        </w:numPr>
        <w:tabs>
          <w:tab w:val="left" w:pos="567"/>
        </w:tabs>
        <w:spacing w:before="0" w:after="180"/>
        <w:ind w:left="567" w:hanging="567"/>
        <w:jc w:val="both"/>
      </w:pPr>
      <w:r>
        <w:rPr>
          <w:sz w:val="24"/>
          <w:szCs w:val="24"/>
        </w:rPr>
        <w:t>The key factors in determining that significant effects are unlikely are summarised below:</w:t>
      </w:r>
    </w:p>
    <w:p>
      <w:pPr>
        <w:numPr>
          <w:ilvl w:val="0"/>
          <w:numId w:val="9"/>
        </w:numPr>
        <w:pBdr>
          <w:left w:val="none" w:sz="0" w:space="7" w:color="auto"/>
        </w:pBdr>
        <w:spacing w:before="0" w:after="180"/>
        <w:ind w:left="1287" w:right="0" w:hanging="436"/>
        <w:jc w:val="both"/>
        <w:rPr>
          <w:rFonts w:ascii="Times New Roman" w:eastAsia="Times New Roman" w:hAnsi="Times New Roman" w:cs="Times New Roman"/>
          <w:sz w:val="24"/>
          <w:szCs w:val="24"/>
        </w:rPr>
      </w:pPr>
      <w:r>
        <w:rPr>
          <w:sz w:val="24"/>
          <w:szCs w:val="24"/>
        </w:rPr>
        <w:t>The SPD has no bearing on the amount of new development that is being planned for in Uttlesford (this is being addressed through an emerging local plan that is being tested through sustainability appraisal and HRA).</w:t>
      </w:r>
    </w:p>
    <w:p>
      <w:pPr>
        <w:numPr>
          <w:ilvl w:val="0"/>
          <w:numId w:val="9"/>
        </w:numPr>
        <w:pBdr>
          <w:left w:val="none" w:sz="0" w:space="7" w:color="auto"/>
        </w:pBdr>
        <w:spacing w:after="180"/>
        <w:ind w:left="1287" w:right="0" w:hanging="436"/>
        <w:jc w:val="both"/>
        <w:rPr>
          <w:rFonts w:ascii="Times New Roman" w:eastAsia="Times New Roman" w:hAnsi="Times New Roman" w:cs="Times New Roman"/>
          <w:sz w:val="24"/>
          <w:szCs w:val="24"/>
        </w:rPr>
      </w:pPr>
      <w:r>
        <w:rPr>
          <w:sz w:val="24"/>
          <w:szCs w:val="24"/>
        </w:rPr>
        <w:t>The SPD could have a minor impact upon the distribution of development, as it discourages development in inaccessible locations and deals with aspects such as layout.</w:t>
      </w:r>
      <w:r>
        <w:rPr>
          <w:sz w:val="24"/>
          <w:szCs w:val="24"/>
        </w:rPr>
        <w:t xml:space="preserve">  </w:t>
      </w:r>
      <w:r>
        <w:rPr>
          <w:sz w:val="24"/>
          <w:szCs w:val="24"/>
        </w:rPr>
        <w:t>However, this is unlikely to significantly affect patterns of growth across the district.</w:t>
      </w:r>
    </w:p>
    <w:p>
      <w:pPr>
        <w:numPr>
          <w:ilvl w:val="0"/>
          <w:numId w:val="9"/>
        </w:numPr>
        <w:pBdr>
          <w:left w:val="none" w:sz="0" w:space="7" w:color="auto"/>
        </w:pBdr>
        <w:spacing w:after="180"/>
        <w:ind w:left="1287" w:right="0" w:hanging="436"/>
        <w:jc w:val="both"/>
        <w:rPr>
          <w:rFonts w:ascii="Times New Roman" w:eastAsia="Times New Roman" w:hAnsi="Times New Roman" w:cs="Times New Roman"/>
          <w:sz w:val="24"/>
          <w:szCs w:val="24"/>
        </w:rPr>
      </w:pPr>
      <w:r>
        <w:rPr>
          <w:sz w:val="24"/>
          <w:szCs w:val="24"/>
        </w:rPr>
        <w:t>Though there are some sensitive environmental receptors across the district, none are likely to be significantly affected by development design alone.</w:t>
      </w:r>
    </w:p>
    <w:p>
      <w:pPr>
        <w:numPr>
          <w:ilvl w:val="0"/>
          <w:numId w:val="9"/>
        </w:numPr>
        <w:pBdr>
          <w:left w:val="none" w:sz="0" w:space="7" w:color="auto"/>
        </w:pBdr>
        <w:spacing w:after="180"/>
        <w:ind w:left="1287" w:right="0" w:hanging="436"/>
        <w:jc w:val="both"/>
        <w:rPr>
          <w:rFonts w:ascii="Times New Roman" w:eastAsia="Times New Roman" w:hAnsi="Times New Roman" w:cs="Times New Roman"/>
          <w:sz w:val="24"/>
          <w:szCs w:val="24"/>
        </w:rPr>
      </w:pPr>
      <w:r>
        <w:rPr>
          <w:sz w:val="24"/>
          <w:szCs w:val="24"/>
        </w:rPr>
        <w:t>The SPD does not set new policy or firm requirements for development (rather, a series of expectations are set out that seek to strongly encourage developers to adopt the principles within the SPD).</w:t>
      </w:r>
      <w:r>
        <w:rPr>
          <w:sz w:val="24"/>
          <w:szCs w:val="24"/>
        </w:rPr>
        <w:t xml:space="preserve">  </w:t>
      </w:r>
      <w:r>
        <w:rPr>
          <w:sz w:val="24"/>
          <w:szCs w:val="24"/>
        </w:rPr>
        <w:t>Therefore, whilst positive effects are considered likely for a range of factors, these are not considered to be significant (in the context of the existing and emerging policy framework).</w:t>
      </w:r>
    </w:p>
    <w:p>
      <w:pPr>
        <w:pStyle w:val="Heading2"/>
        <w:spacing w:before="240" w:after="120" w:line="240" w:lineRule="auto"/>
        <w:rPr>
          <w:b/>
          <w:bCs/>
          <w:sz w:val="36"/>
          <w:szCs w:val="36"/>
        </w:rPr>
      </w:pPr>
      <w:bookmarkStart w:id="57" w:name="_Toc19243"/>
      <w:bookmarkStart w:id="58" w:name="_Toc140585493"/>
      <w:r>
        <w:rPr>
          <w:rFonts w:ascii="Arial" w:eastAsia="Arial" w:hAnsi="Arial" w:cs="Arial"/>
          <w:i w:val="0"/>
          <w:color w:val="008768"/>
        </w:rPr>
        <w:t>Consultation</w:t>
      </w:r>
      <w:bookmarkEnd w:id="57"/>
      <w:bookmarkEnd w:id="58"/>
    </w:p>
    <w:p>
      <w:pPr>
        <w:numPr>
          <w:ilvl w:val="1"/>
          <w:numId w:val="10"/>
        </w:numPr>
        <w:tabs>
          <w:tab w:val="left" w:pos="567"/>
        </w:tabs>
        <w:spacing w:before="240" w:after="180"/>
        <w:ind w:left="567" w:hanging="567"/>
        <w:jc w:val="both"/>
      </w:pPr>
      <w:r>
        <w:rPr>
          <w:sz w:val="24"/>
          <w:szCs w:val="24"/>
        </w:rPr>
        <w:t xml:space="preserve">Uttlesford District Council, as the responsible authority, have given consideration to this screening opinion and have determined that the SEA and HRA </w:t>
      </w:r>
      <w:r>
        <w:rPr>
          <w:sz w:val="24"/>
          <w:szCs w:val="24"/>
        </w:rPr>
        <w:t xml:space="preserve"> </w:t>
      </w:r>
      <w:r>
        <w:rPr>
          <w:sz w:val="24"/>
          <w:szCs w:val="24"/>
        </w:rPr>
        <w:t>processes do not need to be taken further (i.e. SEA and HRA have been ‘screened out’).</w:t>
      </w:r>
    </w:p>
    <w:p>
      <w:pPr>
        <w:numPr>
          <w:ilvl w:val="1"/>
          <w:numId w:val="10"/>
        </w:numPr>
        <w:tabs>
          <w:tab w:val="left" w:pos="567"/>
        </w:tabs>
        <w:spacing w:before="240" w:after="180"/>
        <w:ind w:left="567" w:hanging="567"/>
        <w:jc w:val="both"/>
      </w:pPr>
      <w:r>
        <w:rPr>
          <w:sz w:val="24"/>
          <w:szCs w:val="24"/>
        </w:rPr>
        <w:t xml:space="preserve">The Council is now inviting feedback from the statutory consultation bodies (Natural England, Historic England and the Environment Agency in the case of SEA and Natural England in the case of HRA). </w:t>
      </w:r>
    </w:p>
    <w:p>
      <w:pPr>
        <w:keepNext/>
        <w:keepLines/>
        <w:pageBreakBefore/>
        <w:spacing w:before="480" w:after="240" w:line="240" w:lineRule="auto"/>
        <w:rPr>
          <w:sz w:val="48"/>
          <w:szCs w:val="48"/>
        </w:rPr>
      </w:pPr>
      <w:bookmarkStart w:id="59" w:name="_Toc140585494"/>
      <w:r>
        <w:rPr>
          <w:b/>
          <w:bCs/>
          <w:color w:val="00353E"/>
          <w:sz w:val="48"/>
          <w:szCs w:val="48"/>
        </w:rPr>
        <w:t>Appendix A: Statutory Body Consultation Responses</w:t>
      </w:r>
      <w:bookmarkEnd w:id="59"/>
    </w:p>
    <w:p>
      <w:pPr>
        <w:spacing w:before="360" w:after="180"/>
      </w:pPr>
      <w:r>
        <w:rPr>
          <w:sz w:val="24"/>
          <w:szCs w:val="24"/>
        </w:rPr>
        <w:t>To be completed following consultation</w:t>
      </w:r>
      <w:bookmarkStart w:id="60" w:name="EOD"/>
      <w:bookmarkEnd w:id="60"/>
      <w:r>
        <w:rPr>
          <w:sz w:val="24"/>
          <w:szCs w:val="24"/>
        </w:rPr>
        <w:br w:type="page"/>
      </w:r>
    </w:p>
    <w:p>
      <w:pPr>
        <w:spacing w:before="0" w:after="0"/>
        <w:rPr>
          <w:rFonts w:ascii="Arial" w:eastAsia="Arial" w:hAnsi="Arial" w:cs="Arial"/>
          <w:sz w:val="18"/>
          <w:szCs w:val="18"/>
        </w:rPr>
      </w:pPr>
      <w:r>
        <w:rPr>
          <w:strike w:val="0"/>
          <w:u w:val="none"/>
        </w:rPr>
        <w:drawing>
          <wp:anchor simplePos="0" relativeHeight="251666432" behindDoc="1" locked="0" layoutInCell="1" allowOverlap="1">
            <wp:simplePos x="0" y="0"/>
            <wp:positionH relativeFrom="page">
              <wp:posOffset>0</wp:posOffset>
            </wp:positionH>
            <wp:positionV relativeFrom="page">
              <wp:posOffset>6350</wp:posOffset>
            </wp:positionV>
            <wp:extent cx="7562850" cy="10696575"/>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xmlns:r="http://schemas.openxmlformats.org/officeDocument/2006/relationships" r:embed="rId4"/>
                    <a:stretch>
                      <a:fillRect/>
                    </a:stretch>
                  </pic:blipFill>
                  <pic:spPr>
                    <a:xfrm>
                      <a:off x="0" y="0"/>
                      <a:ext cx="7562850" cy="10696575"/>
                    </a:xfrm>
                    <a:prstGeom prst="rect">
                      <a:avLst/>
                    </a:prstGeom>
                  </pic:spPr>
                </pic:pic>
              </a:graphicData>
            </a:graphic>
          </wp:anchor>
        </w:drawing>
      </w:r>
    </w:p>
    <w:tbl>
      <w:tblPr>
        <w:tblW w:w="5000" w:type="pct"/>
        <w:tblCellMar>
          <w:top w:w="0" w:type="dxa"/>
          <w:left w:w="0" w:type="dxa"/>
          <w:bottom w:w="0" w:type="dxa"/>
          <w:right w:w="0" w:type="dxa"/>
        </w:tblCellMar>
      </w:tblPr>
      <w:tblGrid>
        <w:gridCol w:w="5922"/>
        <w:gridCol w:w="3104"/>
      </w:tblGrid>
      <w:tr>
        <w:tblPrEx>
          <w:tblW w:w="5000" w:type="pct"/>
          <w:tblCellMar>
            <w:top w:w="0" w:type="dxa"/>
            <w:left w:w="0" w:type="dxa"/>
            <w:bottom w:w="0" w:type="dxa"/>
            <w:right w:w="0" w:type="dxa"/>
          </w:tblCellMar>
        </w:tblPrEx>
        <w:trPr>
          <w:trHeight w:val="4500"/>
        </w:trPr>
        <w:tc>
          <w:tcPr>
            <w:tcW w:w="5935" w:type="dxa"/>
            <w:noWrap w:val="0"/>
            <w:tcMar>
              <w:top w:w="33" w:type="dxa"/>
              <w:left w:w="0" w:type="dxa"/>
              <w:bottom w:w="33" w:type="dxa"/>
              <w:right w:w="0" w:type="dxa"/>
            </w:tcMar>
            <w:vAlign w:val="bottom"/>
            <w:hideMark/>
          </w:tcPr>
          <w:p>
            <w:pPr>
              <w:spacing w:before="0" w:after="0" w:line="200" w:lineRule="atLeast"/>
              <w:rPr>
                <w:b w:val="0"/>
                <w:bCs w:val="0"/>
                <w:i w:val="0"/>
                <w:iCs w:val="0"/>
                <w:smallCaps w:val="0"/>
                <w:color w:val="000000"/>
                <w:sz w:val="24"/>
                <w:szCs w:val="24"/>
              </w:rPr>
            </w:pPr>
            <w:bookmarkStart w:id="61" w:name="Contact"/>
            <w:bookmarkStart w:id="62" w:name="BackCoverText"/>
            <w:bookmarkStart w:id="63" w:name="BackCoverTable1"/>
            <w:r>
              <w:rPr>
                <w:b w:val="0"/>
                <w:bCs w:val="0"/>
                <w:i w:val="0"/>
                <w:iCs w:val="0"/>
                <w:smallCaps w:val="0"/>
                <w:color w:val="FFFFFF"/>
                <w:sz w:val="16"/>
                <w:szCs w:val="16"/>
              </w:rPr>
              <w:t xml:space="preserve"> </w:t>
            </w:r>
            <w:bookmarkEnd w:id="61"/>
          </w:p>
          <w:p>
            <w:pPr>
              <w:spacing w:before="0" w:after="0" w:line="200" w:lineRule="atLeast"/>
              <w:rPr>
                <w:rFonts w:ascii="Arial" w:eastAsia="Arial" w:hAnsi="Arial" w:cs="Arial"/>
                <w:b w:val="0"/>
                <w:bCs w:val="0"/>
                <w:i w:val="0"/>
                <w:iCs w:val="0"/>
                <w:smallCaps w:val="0"/>
                <w:color w:val="FFFFFF"/>
                <w:sz w:val="16"/>
                <w:szCs w:val="16"/>
              </w:rPr>
            </w:pPr>
          </w:p>
          <w:p>
            <w:pPr>
              <w:spacing w:before="0" w:after="0" w:line="200" w:lineRule="atLeast"/>
              <w:rPr>
                <w:b w:val="0"/>
                <w:bCs w:val="0"/>
                <w:i w:val="0"/>
                <w:iCs w:val="0"/>
                <w:smallCaps w:val="0"/>
                <w:color w:val="000000"/>
                <w:sz w:val="24"/>
                <w:szCs w:val="24"/>
              </w:rPr>
            </w:pPr>
            <w:bookmarkStart w:id="64" w:name="OfficeAddress"/>
            <w:r>
              <w:rPr>
                <w:b w:val="0"/>
                <w:bCs w:val="0"/>
                <w:i w:val="0"/>
                <w:iCs w:val="0"/>
                <w:smallCaps w:val="0"/>
                <w:color w:val="FFFFFF"/>
                <w:sz w:val="16"/>
                <w:szCs w:val="16"/>
              </w:rPr>
              <w:t xml:space="preserve">aecom.com </w:t>
            </w:r>
            <w:bookmarkEnd w:id="64"/>
          </w:p>
          <w:p>
            <w:pPr>
              <w:spacing w:before="0" w:after="0" w:line="200" w:lineRule="atLeast"/>
              <w:rPr>
                <w:rFonts w:ascii="Arial" w:eastAsia="Arial" w:hAnsi="Arial" w:cs="Arial"/>
                <w:b w:val="0"/>
                <w:bCs w:val="0"/>
                <w:i w:val="0"/>
                <w:iCs w:val="0"/>
                <w:smallCaps w:val="0"/>
                <w:color w:val="FFFFFF"/>
                <w:sz w:val="16"/>
                <w:szCs w:val="16"/>
              </w:rPr>
            </w:pPr>
          </w:p>
        </w:tc>
        <w:tc>
          <w:tcPr>
            <w:tcW w:w="3111" w:type="dxa"/>
            <w:noWrap w:val="0"/>
            <w:tcMar>
              <w:top w:w="33" w:type="dxa"/>
              <w:left w:w="0" w:type="dxa"/>
              <w:bottom w:w="33" w:type="dxa"/>
              <w:right w:w="0" w:type="dxa"/>
            </w:tcMar>
            <w:vAlign w:val="bottom"/>
          </w:tcPr>
          <w:p>
            <w:pPr>
              <w:spacing w:before="0" w:after="0" w:line="200" w:lineRule="atLeast"/>
              <w:rPr>
                <w:rFonts w:ascii="Arial" w:eastAsia="Arial" w:hAnsi="Arial" w:cs="Arial"/>
                <w:b w:val="0"/>
                <w:bCs w:val="0"/>
                <w:i w:val="0"/>
                <w:iCs w:val="0"/>
                <w:smallCaps w:val="0"/>
                <w:color w:val="000000"/>
                <w:sz w:val="16"/>
                <w:szCs w:val="16"/>
              </w:rPr>
            </w:pPr>
          </w:p>
        </w:tc>
      </w:tr>
    </w:tbl>
    <w:p>
      <w:pPr>
        <w:spacing w:before="0" w:after="0"/>
        <w:rPr>
          <w:rFonts w:ascii="Arial" w:eastAsia="Arial" w:hAnsi="Arial" w:cs="Arial"/>
          <w:sz w:val="18"/>
          <w:szCs w:val="18"/>
        </w:rPr>
      </w:pPr>
      <w:r>
        <w:rPr>
          <w:strike w:val="0"/>
          <w:u w:val="none"/>
        </w:rPr>
        <w:drawing>
          <wp:anchor simplePos="0" relativeHeight="251662336" behindDoc="0" locked="0" layoutInCell="1" allowOverlap="1">
            <wp:simplePos x="0" y="0"/>
            <wp:positionH relativeFrom="column">
              <wp:posOffset>0</wp:posOffset>
            </wp:positionH>
            <wp:positionV relativeFrom="page">
              <wp:posOffset>10157460</wp:posOffset>
            </wp:positionV>
            <wp:extent cx="838200" cy="171450"/>
            <wp:wrapNone/>
            <wp:docPr id="100019" name="" descr="Back page 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xmlns:r="http://schemas.openxmlformats.org/officeDocument/2006/relationships" r:embed="rId14"/>
                    <a:stretch>
                      <a:fillRect/>
                    </a:stretch>
                  </pic:blipFill>
                  <pic:spPr>
                    <a:xfrm>
                      <a:off x="0" y="0"/>
                      <a:ext cx="838200" cy="171450"/>
                    </a:xfrm>
                    <a:prstGeom prst="rect">
                      <a:avLst/>
                    </a:prstGeom>
                  </pic:spPr>
                </pic:pic>
              </a:graphicData>
            </a:graphic>
          </wp:anchor>
        </w:drawing>
      </w:r>
      <w:bookmarkEnd w:id="62"/>
      <w:bookmarkEnd w:id="63"/>
    </w:p>
    <w:sectPr>
      <w:headerReference w:type="default" r:id="rId15"/>
      <w:footerReference w:type="default" r:id="rId16"/>
      <w:type w:val="nextPage"/>
      <w:pgSz w:w="11906" w:h="16838"/>
      <w:pgMar w:top="1134" w:right="1440" w:bottom="851"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rPr>
        <w:rFonts w:ascii="Arial" w:eastAsia="Arial" w:hAnsi="Arial" w:cs="Arial"/>
        <w:sz w:val="18"/>
        <w:szCs w:val="18"/>
      </w:rPr>
    </w:pPr>
  </w:p>
  <w:tbl>
    <w:tblPr>
      <w:tblW w:w="5000" w:type="pct"/>
      <w:tblCellMar>
        <w:top w:w="0" w:type="dxa"/>
        <w:left w:w="0" w:type="dxa"/>
        <w:bottom w:w="0" w:type="dxa"/>
        <w:right w:w="0" w:type="dxa"/>
      </w:tblCellMar>
    </w:tblPr>
    <w:tblGrid>
      <w:gridCol w:w="5574"/>
      <w:gridCol w:w="3452"/>
    </w:tblGrid>
    <w:tr>
      <w:tblPrEx>
        <w:tblW w:w="5000" w:type="pct"/>
        <w:tblCellMar>
          <w:top w:w="0" w:type="dxa"/>
          <w:left w:w="0" w:type="dxa"/>
          <w:bottom w:w="0" w:type="dxa"/>
          <w:right w:w="0" w:type="dxa"/>
        </w:tblCellMar>
      </w:tblPrEx>
      <w:tc>
        <w:tcPr>
          <w:tcW w:w="5680"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14"/>
              <w:szCs w:val="14"/>
            </w:rPr>
          </w:pPr>
          <w:r>
            <w:rPr>
              <w:b w:val="0"/>
              <w:bCs w:val="0"/>
              <w:i w:val="0"/>
              <w:iCs w:val="0"/>
              <w:smallCaps w:val="0"/>
              <w:color w:val="000000"/>
              <w:sz w:val="14"/>
              <w:szCs w:val="14"/>
            </w:rPr>
            <w:t xml:space="preserve"> </w:t>
          </w:r>
          <w:r>
            <w:rPr>
              <w:b w:val="0"/>
              <w:bCs w:val="0"/>
              <w:i w:val="0"/>
              <w:iCs w:val="0"/>
              <w:smallCaps w:val="0"/>
              <w:color w:val="000000"/>
              <w:sz w:val="14"/>
              <w:szCs w:val="14"/>
            </w:rPr>
            <w:t xml:space="preserve"> </w:t>
          </w:r>
          <w:r>
            <w:rPr>
              <w:b w:val="0"/>
              <w:bCs w:val="0"/>
              <w:i w:val="0"/>
              <w:iCs w:val="0"/>
              <w:smallCaps w:val="0"/>
              <w:color w:val="000000"/>
              <w:sz w:val="14"/>
              <w:szCs w:val="14"/>
            </w:rPr>
            <w:t xml:space="preserve">  </w:t>
          </w:r>
          <w:r>
            <w:rPr>
              <w:b w:val="0"/>
              <w:bCs w:val="0"/>
              <w:i w:val="0"/>
              <w:iCs w:val="0"/>
              <w:smallCaps w:val="0"/>
              <w:color w:val="000000"/>
              <w:sz w:val="14"/>
              <w:szCs w:val="14"/>
            </w:rPr>
            <w:t xml:space="preserve"> </w:t>
          </w:r>
        </w:p>
      </w:tc>
      <w:tc>
        <w:tcPr>
          <w:tcW w:w="3474" w:type="dxa"/>
          <w:noWrap w:val="0"/>
          <w:tcMar>
            <w:top w:w="0" w:type="dxa"/>
            <w:left w:w="0" w:type="dxa"/>
            <w:bottom w:w="0" w:type="dxa"/>
            <w:right w:w="113" w:type="dxa"/>
          </w:tcMar>
          <w:vAlign w:val="bottom"/>
          <w:hideMark/>
        </w:tcPr>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AECOM</w:t>
          </w:r>
        </w:p>
        <w:p>
          <w:pPr>
            <w:spacing w:before="0" w:after="0" w:line="240" w:lineRule="auto"/>
            <w:jc w:val="right"/>
            <w:rPr>
              <w:rFonts w:ascii="Arial" w:eastAsia="Arial" w:hAnsi="Arial" w:cs="Arial"/>
              <w:b w:val="0"/>
              <w:bCs w:val="0"/>
              <w:i w:val="0"/>
              <w:iCs w:val="0"/>
              <w:smallCaps w:val="0"/>
              <w:color w:val="000000"/>
              <w:sz w:val="14"/>
              <w:szCs w:val="14"/>
            </w:rPr>
          </w:pPr>
        </w:p>
      </w:tc>
    </w:tr>
  </w:tbl>
  <w:p>
    <w:pPr>
      <w:spacing w:before="0" w:after="0" w:line="240" w:lineRule="auto"/>
      <w:jc w:val="right"/>
      <w:rPr>
        <w:rFonts w:ascii="Arial" w:eastAsia="Arial" w:hAnsi="Arial" w:cs="Arial"/>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t>Uttlesford Design Code: SEA screening opinion</w:t>
    </w:r>
  </w:p>
  <w:tbl>
    <w:tblPr>
      <w:tblW w:w="5000" w:type="pct"/>
      <w:tblCellMar>
        <w:top w:w="0" w:type="dxa"/>
        <w:left w:w="0" w:type="dxa"/>
        <w:bottom w:w="0" w:type="dxa"/>
        <w:right w:w="0" w:type="dxa"/>
      </w:tblCellMar>
    </w:tblPr>
    <w:tblGrid>
      <w:gridCol w:w="5574"/>
      <w:gridCol w:w="3452"/>
    </w:tblGrid>
    <w:tr>
      <w:tblPrEx>
        <w:tblW w:w="5000" w:type="pct"/>
        <w:tblCellMar>
          <w:top w:w="0" w:type="dxa"/>
          <w:left w:w="0" w:type="dxa"/>
          <w:bottom w:w="0" w:type="dxa"/>
          <w:right w:w="0" w:type="dxa"/>
        </w:tblCellMar>
      </w:tblPrEx>
      <w:tc>
        <w:tcPr>
          <w:tcW w:w="5680"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14"/>
              <w:szCs w:val="14"/>
            </w:rPr>
          </w:pPr>
          <w:r>
            <w:rPr>
              <w:b w:val="0"/>
              <w:bCs w:val="0"/>
              <w:i w:val="0"/>
              <w:iCs w:val="0"/>
              <w:smallCaps w:val="0"/>
              <w:color w:val="000000"/>
              <w:sz w:val="14"/>
              <w:szCs w:val="14"/>
            </w:rPr>
            <w:t xml:space="preserve"> </w:t>
          </w:r>
          <w:r>
            <w:rPr>
              <w:b w:val="0"/>
              <w:bCs w:val="0"/>
              <w:i w:val="0"/>
              <w:iCs w:val="0"/>
              <w:smallCaps w:val="0"/>
              <w:color w:val="000000"/>
              <w:sz w:val="14"/>
              <w:szCs w:val="14"/>
            </w:rPr>
            <w:t xml:space="preserve"> </w:t>
          </w:r>
          <w:r>
            <w:rPr>
              <w:b w:val="0"/>
              <w:bCs w:val="0"/>
              <w:i w:val="0"/>
              <w:iCs w:val="0"/>
              <w:smallCaps w:val="0"/>
              <w:color w:val="000000"/>
              <w:sz w:val="14"/>
              <w:szCs w:val="14"/>
            </w:rPr>
            <w:t xml:space="preserve">  </w:t>
          </w:r>
          <w:r>
            <w:rPr>
              <w:b w:val="0"/>
              <w:bCs w:val="0"/>
              <w:i w:val="0"/>
              <w:iCs w:val="0"/>
              <w:smallCaps w:val="0"/>
              <w:color w:val="000000"/>
              <w:sz w:val="14"/>
              <w:szCs w:val="14"/>
            </w:rPr>
            <w:t xml:space="preserve"> </w:t>
          </w:r>
        </w:p>
      </w:tc>
      <w:tc>
        <w:tcPr>
          <w:tcW w:w="3474" w:type="dxa"/>
          <w:noWrap w:val="0"/>
          <w:tcMar>
            <w:top w:w="0" w:type="dxa"/>
            <w:left w:w="0" w:type="dxa"/>
            <w:bottom w:w="0" w:type="dxa"/>
            <w:right w:w="113" w:type="dxa"/>
          </w:tcMar>
          <w:vAlign w:val="bottom"/>
          <w:hideMark/>
        </w:tcPr>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AECOM</w:t>
          </w:r>
        </w:p>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fldChar w:fldCharType="begin"/>
          </w:r>
          <w:r>
            <w:rPr>
              <w:b w:val="0"/>
              <w:bCs w:val="0"/>
              <w:i w:val="0"/>
              <w:iCs w:val="0"/>
              <w:smallCaps w:val="0"/>
              <w:color w:val="000000"/>
              <w:sz w:val="14"/>
              <w:szCs w:val="14"/>
            </w:rPr>
            <w:instrText xml:space="preserve"> page </w:instrText>
          </w:r>
          <w:r>
            <w:rPr>
              <w:b w:val="0"/>
              <w:bCs w:val="0"/>
              <w:i w:val="0"/>
              <w:iCs w:val="0"/>
              <w:smallCaps w:val="0"/>
              <w:color w:val="000000"/>
              <w:sz w:val="14"/>
              <w:szCs w:val="14"/>
            </w:rPr>
            <w:fldChar w:fldCharType="separate"/>
          </w:r>
          <w:r>
            <w:rPr>
              <w:b w:val="0"/>
              <w:bCs w:val="0"/>
              <w:i w:val="0"/>
              <w:iCs w:val="0"/>
              <w:smallCaps w:val="0"/>
              <w:color w:val="000000"/>
              <w:sz w:val="14"/>
              <w:szCs w:val="14"/>
            </w:rPr>
            <w:t>15</w:t>
          </w:r>
          <w:r>
            <w:rPr>
              <w:b w:val="0"/>
              <w:bCs w:val="0"/>
              <w:i w:val="0"/>
              <w:iCs w:val="0"/>
              <w:smallCaps w:val="0"/>
              <w:color w:val="000000"/>
              <w:sz w:val="14"/>
              <w:szCs w:val="14"/>
            </w:rPr>
            <w:fldChar w:fldCharType="end"/>
          </w:r>
        </w:p>
      </w:tc>
    </w:tr>
  </w:tbl>
  <w:p>
    <w:pPr>
      <w:spacing w:before="0" w:after="0" w:line="240" w:lineRule="auto"/>
      <w:jc w:val="right"/>
      <w:rPr>
        <w:rFonts w:ascii="Arial" w:eastAsia="Arial" w:hAnsi="Arial" w:cs="Arial"/>
        <w:sz w:val="14"/>
        <w:szCs w:val="1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0" w:type="dxa"/>
        <w:left w:w="0" w:type="dxa"/>
        <w:bottom w:w="0" w:type="dxa"/>
        <w:right w:w="0" w:type="dxa"/>
      </w:tblCellMar>
    </w:tblPr>
    <w:tblGrid>
      <w:gridCol w:w="3006"/>
      <w:gridCol w:w="3020"/>
      <w:gridCol w:w="3000"/>
    </w:tblGrid>
    <w:tr>
      <w:tblPrEx>
        <w:tblW w:w="5000" w:type="pct"/>
        <w:tblCellMar>
          <w:top w:w="0" w:type="dxa"/>
          <w:left w:w="0" w:type="dxa"/>
          <w:bottom w:w="0" w:type="dxa"/>
          <w:right w:w="0" w:type="dxa"/>
        </w:tblCellMar>
      </w:tblPrEx>
      <w:trPr>
        <w:trHeight w:val="460"/>
      </w:trPr>
      <w:tc>
        <w:tcPr>
          <w:tcW w:w="3045"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14"/>
              <w:szCs w:val="14"/>
            </w:rPr>
          </w:pPr>
          <w:r>
            <w:rPr>
              <w:b w:val="0"/>
              <w:bCs w:val="0"/>
              <w:i w:val="0"/>
              <w:iCs w:val="0"/>
              <w:smallCaps w:val="0"/>
              <w:color w:val="000000"/>
              <w:sz w:val="14"/>
              <w:szCs w:val="14"/>
            </w:rPr>
            <w:t>Uttlesford Design Code SEA Screening</w:t>
          </w:r>
        </w:p>
      </w:tc>
      <w:tc>
        <w:tcPr>
          <w:tcW w:w="3070" w:type="dxa"/>
          <w:noWrap w:val="0"/>
          <w:tcMar>
            <w:top w:w="0" w:type="dxa"/>
            <w:left w:w="0" w:type="dxa"/>
            <w:bottom w:w="0" w:type="dxa"/>
            <w:right w:w="113" w:type="dxa"/>
          </w:tcMar>
          <w:vAlign w:val="top"/>
          <w:hideMark/>
        </w:tcPr>
        <w:p>
          <w:pPr>
            <w:spacing w:before="0" w:after="0" w:line="240" w:lineRule="auto"/>
            <w:jc w:val="center"/>
            <w:rPr>
              <w:b w:val="0"/>
              <w:bCs w:val="0"/>
              <w:i w:val="0"/>
              <w:iCs w:val="0"/>
              <w:smallCaps w:val="0"/>
              <w:color w:val="000000"/>
              <w:sz w:val="14"/>
              <w:szCs w:val="14"/>
            </w:rPr>
          </w:pPr>
          <w:r>
            <w:rPr>
              <w:b w:val="0"/>
              <w:bCs w:val="0"/>
              <w:i w:val="0"/>
              <w:iCs w:val="0"/>
              <w:smallCaps w:val="0"/>
              <w:color w:val="000000"/>
              <w:sz w:val="14"/>
              <w:szCs w:val="14"/>
            </w:rPr>
            <w:t xml:space="preserve"> </w:t>
          </w:r>
        </w:p>
      </w:tc>
      <w:tc>
        <w:tcPr>
          <w:tcW w:w="3049" w:type="dxa"/>
          <w:noWrap w:val="0"/>
          <w:tcMar>
            <w:top w:w="0" w:type="dxa"/>
            <w:left w:w="0" w:type="dxa"/>
            <w:bottom w:w="0" w:type="dxa"/>
            <w:right w:w="113" w:type="dxa"/>
          </w:tcMar>
          <w:vAlign w:val="top"/>
          <w:hideMark/>
        </w:tcPr>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 xml:space="preserve"> </w:t>
          </w:r>
        </w:p>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 xml:space="preserve"> </w:t>
          </w:r>
          <w:r>
            <w:rPr>
              <w:b w:val="0"/>
              <w:bCs w:val="0"/>
              <w:i w:val="0"/>
              <w:iCs w:val="0"/>
              <w:smallCaps w:val="0"/>
              <w:color w:val="000000"/>
              <w:sz w:val="14"/>
              <w:szCs w:val="14"/>
            </w:rPr>
            <w:t xml:space="preserve"> </w:t>
          </w:r>
        </w:p>
      </w:tc>
    </w:tr>
  </w:tbl>
  <w:p>
    <w:pPr>
      <w:spacing w:before="0" w:after="0" w:line="240" w:lineRule="auto"/>
      <w:rPr>
        <w:rFonts w:ascii="Arial" w:eastAsia="Arial" w:hAnsi="Arial" w:cs="Arial"/>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0" w:type="dxa"/>
        <w:left w:w="0" w:type="dxa"/>
        <w:bottom w:w="0" w:type="dxa"/>
        <w:right w:w="0" w:type="dxa"/>
      </w:tblCellMar>
    </w:tblPr>
    <w:tblGrid>
      <w:gridCol w:w="2991"/>
      <w:gridCol w:w="3037"/>
      <w:gridCol w:w="2998"/>
    </w:tblGrid>
    <w:tr>
      <w:tblPrEx>
        <w:tblW w:w="5000" w:type="pct"/>
        <w:tblCellMar>
          <w:top w:w="0" w:type="dxa"/>
          <w:left w:w="0" w:type="dxa"/>
          <w:bottom w:w="0" w:type="dxa"/>
          <w:right w:w="0" w:type="dxa"/>
        </w:tblCellMar>
      </w:tblPrEx>
      <w:trPr>
        <w:trHeight w:val="460"/>
      </w:trPr>
      <w:tc>
        <w:tcPr>
          <w:tcW w:w="3000" w:type="dxa"/>
          <w:noWrap w:val="0"/>
          <w:tcMar>
            <w:top w:w="0" w:type="dxa"/>
            <w:left w:w="0" w:type="dxa"/>
            <w:bottom w:w="0" w:type="dxa"/>
            <w:right w:w="113" w:type="dxa"/>
          </w:tcMar>
          <w:vAlign w:val="top"/>
        </w:tcPr>
        <w:p>
          <w:pPr>
            <w:spacing w:before="0" w:after="0" w:line="240" w:lineRule="auto"/>
            <w:rPr>
              <w:rFonts w:ascii="Arial" w:eastAsia="Arial" w:hAnsi="Arial" w:cs="Arial"/>
              <w:b w:val="0"/>
              <w:bCs w:val="0"/>
              <w:i w:val="0"/>
              <w:iCs w:val="0"/>
              <w:smallCaps w:val="0"/>
              <w:color w:val="000000"/>
              <w:sz w:val="14"/>
              <w:szCs w:val="14"/>
            </w:rPr>
          </w:pPr>
        </w:p>
      </w:tc>
      <w:tc>
        <w:tcPr>
          <w:tcW w:w="3048" w:type="dxa"/>
          <w:noWrap w:val="0"/>
          <w:tcMar>
            <w:top w:w="0" w:type="dxa"/>
            <w:left w:w="0" w:type="dxa"/>
            <w:bottom w:w="0" w:type="dxa"/>
            <w:right w:w="113" w:type="dxa"/>
          </w:tcMar>
          <w:vAlign w:val="top"/>
          <w:hideMark/>
        </w:tcPr>
        <w:p>
          <w:pPr>
            <w:spacing w:before="0" w:after="0" w:line="240" w:lineRule="auto"/>
            <w:jc w:val="center"/>
            <w:rPr>
              <w:b w:val="0"/>
              <w:bCs w:val="0"/>
              <w:i w:val="0"/>
              <w:iCs w:val="0"/>
              <w:smallCaps w:val="0"/>
              <w:color w:val="000000"/>
              <w:sz w:val="14"/>
              <w:szCs w:val="14"/>
            </w:rPr>
          </w:pPr>
          <w:r>
            <w:rPr>
              <w:b w:val="0"/>
              <w:bCs w:val="0"/>
              <w:i w:val="0"/>
              <w:iCs w:val="0"/>
              <w:smallCaps w:val="0"/>
              <w:color w:val="000000"/>
              <w:sz w:val="14"/>
              <w:szCs w:val="14"/>
            </w:rPr>
            <w:t xml:space="preserve"> </w:t>
          </w:r>
        </w:p>
      </w:tc>
      <w:tc>
        <w:tcPr>
          <w:tcW w:w="3008" w:type="dxa"/>
          <w:noWrap w:val="0"/>
          <w:tcMar>
            <w:top w:w="0" w:type="dxa"/>
            <w:left w:w="0" w:type="dxa"/>
            <w:bottom w:w="0" w:type="dxa"/>
            <w:right w:w="113" w:type="dxa"/>
          </w:tcMar>
          <w:vAlign w:val="top"/>
          <w:hideMark/>
        </w:tcPr>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 xml:space="preserve"> </w:t>
          </w:r>
        </w:p>
        <w:p>
          <w:pPr>
            <w:spacing w:before="0" w:after="0" w:line="240" w:lineRule="auto"/>
            <w:jc w:val="right"/>
            <w:rPr>
              <w:b w:val="0"/>
              <w:bCs w:val="0"/>
              <w:i w:val="0"/>
              <w:iCs w:val="0"/>
              <w:smallCaps w:val="0"/>
              <w:color w:val="000000"/>
              <w:sz w:val="14"/>
              <w:szCs w:val="14"/>
            </w:rPr>
          </w:pPr>
          <w:r>
            <w:rPr>
              <w:b w:val="0"/>
              <w:bCs w:val="0"/>
              <w:i w:val="0"/>
              <w:iCs w:val="0"/>
              <w:smallCaps w:val="0"/>
              <w:color w:val="000000"/>
              <w:sz w:val="14"/>
              <w:szCs w:val="14"/>
            </w:rPr>
            <w:t xml:space="preserve"> </w:t>
          </w:r>
          <w:r>
            <w:rPr>
              <w:b w:val="0"/>
              <w:bCs w:val="0"/>
              <w:i w:val="0"/>
              <w:iCs w:val="0"/>
              <w:smallCaps w:val="0"/>
              <w:color w:val="000000"/>
              <w:sz w:val="14"/>
              <w:szCs w:val="14"/>
            </w:rPr>
            <w:t xml:space="preserve"> </w:t>
          </w:r>
        </w:p>
      </w:tc>
    </w:tr>
  </w:tbl>
  <w:p>
    <w:pPr>
      <w:spacing w:before="0" w:after="0" w:line="240" w:lineRule="auto"/>
      <w:rPr>
        <w:rFonts w:ascii="Arial" w:eastAsia="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decimal"/>
      <w:lvlText w:val="%1."/>
      <w:lvlJc w:val="left"/>
      <w:pPr>
        <w:ind w:left="0" w:firstLine="0"/>
      </w:pPr>
      <w:rPr>
        <w:rFonts w:ascii="Arial" w:eastAsia="Arial" w:hAnsi="Arial" w:cs="Arial"/>
        <w:b/>
        <w:bCs/>
        <w:color w:val="00353E"/>
        <w:sz w:val="48"/>
        <w:szCs w:val="48"/>
      </w:rPr>
    </w:lvl>
    <w:lvl w:ilvl="1">
      <w:start w:val="1"/>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hybridMultilevel"/>
    <w:tmpl w:val="00000003"/>
    <w:lvl w:ilvl="0">
      <w:start w:val="1"/>
      <w:numFmt w:val="decimal"/>
      <w:lvlText w:val=""/>
      <w:lvlJc w:val="left"/>
      <w:pPr>
        <w:tabs>
          <w:tab w:val="num" w:pos="720"/>
        </w:tabs>
        <w:ind w:left="720" w:hanging="360"/>
      </w:pPr>
      <w:rPr>
        <w:rFonts w:ascii="Symbol" w:hAnsi="Symbol"/>
      </w:rPr>
    </w:lvl>
    <w:lvl w:ilvl="1">
      <w:start w:val="16"/>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2"/>
      <w:numFmt w:val="decimal"/>
      <w:lvlText w:val="%1."/>
      <w:lvlJc w:val="left"/>
      <w:pPr>
        <w:ind w:left="0" w:firstLine="0"/>
      </w:pPr>
      <w:rPr>
        <w:rFonts w:ascii="Arial" w:eastAsia="Arial" w:hAnsi="Arial" w:cs="Arial"/>
        <w:b/>
        <w:bCs/>
        <w:color w:val="00353E"/>
        <w:sz w:val="48"/>
        <w:szCs w:val="48"/>
      </w:rPr>
    </w:lvl>
    <w:lvl w:ilvl="1">
      <w:start w:val="1"/>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2"/>
      <w:numFmt w:val="decimal"/>
      <w:lvlText w:val=""/>
      <w:lvlJc w:val="left"/>
      <w:pPr>
        <w:tabs>
          <w:tab w:val="num" w:pos="720"/>
        </w:tabs>
        <w:ind w:left="720" w:hanging="360"/>
      </w:pPr>
      <w:rPr>
        <w:rFonts w:ascii="Symbol" w:hAnsi="Symbol"/>
      </w:rPr>
    </w:lvl>
    <w:lvl w:ilvl="1">
      <w:start w:val="4"/>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3"/>
      <w:numFmt w:val="decimal"/>
      <w:lvlText w:val="%1."/>
      <w:lvlJc w:val="left"/>
      <w:pPr>
        <w:ind w:left="0" w:firstLine="0"/>
      </w:pPr>
      <w:rPr>
        <w:rFonts w:ascii="Arial" w:eastAsia="Arial" w:hAnsi="Arial" w:cs="Arial"/>
        <w:b/>
        <w:bCs/>
        <w:i w:val="0"/>
        <w:iCs w:val="0"/>
        <w:smallCaps w:val="0"/>
        <w:color w:val="00353E"/>
        <w:sz w:val="48"/>
        <w:szCs w:val="4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3"/>
      <w:numFmt w:val="decimal"/>
      <w:lvlText w:val=""/>
      <w:lvlJc w:val="left"/>
      <w:pPr>
        <w:tabs>
          <w:tab w:val="num" w:pos="720"/>
        </w:tabs>
        <w:ind w:left="720" w:hanging="360"/>
      </w:pPr>
      <w:rPr>
        <w:rFonts w:ascii="Symbol" w:hAnsi="Symbol"/>
      </w:rPr>
    </w:lvl>
    <w:lvl w:ilvl="1">
      <w:start w:val="1"/>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3"/>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Arial" w:eastAsia="Arial" w:hAnsi="Arial" w:cs="Arial"/>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rFonts w:ascii="Arial" w:eastAsia="Arial" w:hAnsi="Arial" w:cs="Arial"/>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